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1B18C326" w:rsidR="00594BEF" w:rsidRPr="005250C0" w:rsidRDefault="002D0447" w:rsidP="73C07679">
      <w:pPr>
        <w:spacing w:line="360" w:lineRule="auto"/>
        <w:ind w:right="-575"/>
        <w:rPr>
          <w:rFonts w:eastAsia="Arial" w:cs="Arial"/>
          <w:b/>
          <w:bCs/>
          <w:color w:val="000000" w:themeColor="text1"/>
          <w:sz w:val="28"/>
          <w:szCs w:val="28"/>
        </w:rPr>
      </w:pPr>
      <w:r>
        <w:rPr>
          <w:rFonts w:eastAsia="Arial" w:cs="Arial"/>
          <w:b/>
          <w:bCs/>
          <w:color w:val="000000" w:themeColor="text1"/>
          <w:sz w:val="28"/>
          <w:szCs w:val="28"/>
        </w:rPr>
        <w:t>Hettich eröffnet Wege durch Weiterbildung</w:t>
      </w:r>
    </w:p>
    <w:p w14:paraId="7C9E1ECA" w14:textId="424A6FD0" w:rsidR="7F819DC4" w:rsidRPr="00A86067" w:rsidRDefault="002D0447" w:rsidP="73C07679">
      <w:pPr>
        <w:spacing w:line="360" w:lineRule="auto"/>
        <w:ind w:right="-575"/>
        <w:rPr>
          <w:b/>
          <w:color w:val="000000" w:themeColor="text1"/>
          <w:szCs w:val="24"/>
        </w:rPr>
      </w:pPr>
      <w:r>
        <w:rPr>
          <w:b/>
          <w:color w:val="000000" w:themeColor="text1"/>
          <w:szCs w:val="24"/>
        </w:rPr>
        <w:t>Das Familienunternehmen setzt auf Qualifizierung und Entwicklung als Bausteine für die Zukunft</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55DF0544" w:rsidR="265DB917" w:rsidRPr="002D0447" w:rsidRDefault="002D0447" w:rsidP="002D0447">
      <w:pPr>
        <w:spacing w:line="360" w:lineRule="auto"/>
        <w:rPr>
          <w:rFonts w:cs="Arial"/>
          <w:b/>
          <w:bCs/>
          <w:color w:val="auto"/>
          <w:szCs w:val="24"/>
          <w:lang w:val="nl-NL"/>
        </w:rPr>
      </w:pPr>
      <w:r w:rsidRPr="002D0447">
        <w:rPr>
          <w:rFonts w:cs="Arial"/>
          <w:b/>
          <w:bCs/>
          <w:color w:val="auto"/>
          <w:szCs w:val="24"/>
          <w:lang w:val="nl-NL"/>
        </w:rPr>
        <w:t xml:space="preserve">Die Hettich Gruppe baut ihr Programm zur beruflichen Entwicklung konsequent aus. In Zeiten des Wandels können Beschäftigte ihren Weg in die Zukunft aktiv gestalten und sich neuen Perspektiven zuwenden. </w:t>
      </w:r>
      <w:r w:rsidR="00002380">
        <w:rPr>
          <w:rFonts w:cs="Arial"/>
          <w:b/>
          <w:bCs/>
          <w:color w:val="auto"/>
          <w:szCs w:val="24"/>
          <w:lang w:val="nl-NL"/>
        </w:rPr>
        <w:t xml:space="preserve">Am Logistikstandort in Vlotho, der seine Aktivitäten bis Ende 2027 an einen externen Dienstleister übergeben wird, wurden bereits erste Schritte eingeleitet, um die Mitarbeitenden bei ihrer beruflichen Entwicklung zu unterstützen. </w:t>
      </w:r>
    </w:p>
    <w:p w14:paraId="41E1D1B9" w14:textId="75C325D1" w:rsidR="73C07679" w:rsidRDefault="73C07679" w:rsidP="73C07679">
      <w:pPr>
        <w:tabs>
          <w:tab w:val="left" w:pos="7320"/>
        </w:tabs>
        <w:spacing w:line="360" w:lineRule="auto"/>
        <w:ind w:right="-6"/>
        <w:rPr>
          <w:rFonts w:cs="Arial"/>
          <w:b/>
          <w:bCs/>
          <w:color w:val="000000" w:themeColor="text1"/>
        </w:rPr>
      </w:pPr>
    </w:p>
    <w:p w14:paraId="6633FBBD" w14:textId="77777777" w:rsidR="003C09DB" w:rsidRPr="003C09DB" w:rsidRDefault="003C09DB" w:rsidP="003C09DB">
      <w:pPr>
        <w:spacing w:line="360" w:lineRule="auto"/>
        <w:rPr>
          <w:rFonts w:eastAsia="Arial" w:cs="Arial"/>
          <w:color w:val="000000" w:themeColor="text1"/>
          <w:szCs w:val="24"/>
        </w:rPr>
      </w:pPr>
      <w:r w:rsidRPr="003C09DB">
        <w:rPr>
          <w:rFonts w:eastAsia="Arial" w:cs="Arial"/>
          <w:color w:val="000000" w:themeColor="text1"/>
          <w:szCs w:val="24"/>
        </w:rPr>
        <w:t xml:space="preserve">Veränderungen am Arbeitsmarkt und innerhalb der Branche bringen für Beschäftigte oft Unsicherheit mit sich, aus denen zugleich neue Chancen entstehen. Hettich möchte bei diesem Wandel aktiv unterstützen und setzt dabei auf Qualifizierung als zentrales Element, um Mitarbeitende in ihrer Weiterentwicklung zu fördern.  </w:t>
      </w:r>
    </w:p>
    <w:p w14:paraId="0C314455" w14:textId="77777777" w:rsidR="003C09DB" w:rsidRDefault="003C09DB" w:rsidP="003C09DB">
      <w:pPr>
        <w:tabs>
          <w:tab w:val="left" w:pos="7320"/>
        </w:tabs>
        <w:spacing w:line="360" w:lineRule="auto"/>
        <w:ind w:right="-6"/>
        <w:rPr>
          <w:rFonts w:eastAsia="Arial" w:cs="Arial"/>
          <w:color w:val="000000" w:themeColor="text1"/>
          <w:szCs w:val="24"/>
        </w:rPr>
      </w:pPr>
    </w:p>
    <w:p w14:paraId="49477C6E" w14:textId="77777777" w:rsidR="003C09DB" w:rsidRDefault="003C09DB" w:rsidP="003C09DB">
      <w:pPr>
        <w:spacing w:line="360" w:lineRule="auto"/>
      </w:pPr>
      <w:r>
        <w:t>„Wir möchten unsere Kolleginnen und Kollegen dabei bestärken, ihre berufliche Zukunft aktiv zu gestalten“, sagt Lars Bohlmann, Geschäftsführer bei Hettich. „Weiterbildung und Umschulung können wertvolle Wege sein, vorhandene Fähigkeiten zu erweitern und sich für neue Aufgaben zu qualifizieren.“</w:t>
      </w:r>
    </w:p>
    <w:p w14:paraId="670F8D28" w14:textId="77777777" w:rsidR="00106E9C" w:rsidRPr="000959C5" w:rsidRDefault="00106E9C" w:rsidP="003C09DB">
      <w:pPr>
        <w:spacing w:line="360" w:lineRule="auto"/>
      </w:pPr>
    </w:p>
    <w:p w14:paraId="567D53CA" w14:textId="6739CC6B" w:rsidR="003C09DB" w:rsidRDefault="00106E9C" w:rsidP="003C09DB">
      <w:pPr>
        <w:spacing w:line="360" w:lineRule="auto"/>
      </w:pPr>
      <w:r>
        <w:t xml:space="preserve">Am Standort </w:t>
      </w:r>
      <w:r w:rsidR="003C09DB" w:rsidRPr="000959C5">
        <w:t xml:space="preserve">Vlotho </w:t>
      </w:r>
      <w:r w:rsidR="003C09DB">
        <w:t>fanden dazu</w:t>
      </w:r>
      <w:r w:rsidR="003C09DB" w:rsidRPr="000959C5">
        <w:t xml:space="preserve"> kürzlich </w:t>
      </w:r>
      <w:r w:rsidR="003C09DB">
        <w:t xml:space="preserve">die ersten </w:t>
      </w:r>
      <w:r w:rsidR="003C09DB" w:rsidRPr="000959C5">
        <w:t xml:space="preserve">Beratungstermine für interessierte </w:t>
      </w:r>
      <w:r w:rsidR="003C09DB">
        <w:t>Beschäftigte</w:t>
      </w:r>
      <w:r w:rsidR="003C09DB" w:rsidRPr="000959C5">
        <w:t xml:space="preserve"> </w:t>
      </w:r>
      <w:r w:rsidR="003C09DB">
        <w:t>statt</w:t>
      </w:r>
      <w:r w:rsidR="003C09DB" w:rsidRPr="000959C5">
        <w:t xml:space="preserve">. Gemeinsam mit der Agentur für Arbeit </w:t>
      </w:r>
      <w:r w:rsidR="003C09DB">
        <w:t xml:space="preserve">wurden ganz praktische </w:t>
      </w:r>
      <w:r w:rsidR="003C09DB" w:rsidRPr="000959C5">
        <w:t xml:space="preserve">Fragen geklärt: Welche Entwicklungsmöglichkeiten </w:t>
      </w:r>
      <w:r w:rsidR="003C09DB">
        <w:t>habe ich</w:t>
      </w:r>
      <w:r w:rsidR="003C09DB" w:rsidRPr="000959C5">
        <w:t xml:space="preserve">? Welche </w:t>
      </w:r>
      <w:r w:rsidR="003C09DB" w:rsidRPr="000959C5">
        <w:lastRenderedPageBreak/>
        <w:t xml:space="preserve">Qualifikationen </w:t>
      </w:r>
      <w:r w:rsidR="003C09DB">
        <w:t>kann ich</w:t>
      </w:r>
      <w:r w:rsidR="003C09DB" w:rsidRPr="000959C5">
        <w:t xml:space="preserve"> gezielt </w:t>
      </w:r>
      <w:r w:rsidR="003C09DB">
        <w:t>ausbauen</w:t>
      </w:r>
      <w:r w:rsidR="003C09DB" w:rsidRPr="000959C5">
        <w:t xml:space="preserve">? Welche Wege stehen </w:t>
      </w:r>
      <w:r w:rsidR="003C09DB">
        <w:t xml:space="preserve">mir </w:t>
      </w:r>
      <w:r w:rsidR="003C09DB" w:rsidRPr="000959C5">
        <w:t>offen?</w:t>
      </w:r>
    </w:p>
    <w:p w14:paraId="6053D61F" w14:textId="77777777" w:rsidR="003C09DB" w:rsidRPr="000959C5" w:rsidRDefault="003C09DB" w:rsidP="003C09DB">
      <w:pPr>
        <w:spacing w:line="360" w:lineRule="auto"/>
      </w:pPr>
    </w:p>
    <w:p w14:paraId="21044ACB" w14:textId="77777777" w:rsidR="003C09DB" w:rsidRDefault="003C09DB" w:rsidP="003C09DB">
      <w:pPr>
        <w:spacing w:line="360" w:lineRule="auto"/>
      </w:pPr>
      <w:r w:rsidRPr="000959C5">
        <w:t>Konkret bietet Hettich Umschulungen in Berufen an, die auch im Unternehmen ausgebildet werden</w:t>
      </w:r>
      <w:r>
        <w:t>:</w:t>
      </w:r>
      <w:r w:rsidRPr="000959C5">
        <w:t xml:space="preserve"> etwa zum Maschinen- und Anlagenführer, Industriemechaniker oder zur Fachkraft für Lagerlogistik. </w:t>
      </w:r>
      <w:r>
        <w:t>Ergänzend</w:t>
      </w:r>
      <w:r w:rsidRPr="00735E23">
        <w:t xml:space="preserve"> gibt es individuelle Beratung für Mitarbeitende mit langjähriger Berufserfahrung, um gemeinsam passende Entwicklungspfade zu erarbeiten.</w:t>
      </w:r>
      <w:r w:rsidRPr="000959C5">
        <w:t xml:space="preserve"> Beispiele aus der Praxis zeigen, dass Umschulungen erfolgreich sind: </w:t>
      </w:r>
      <w:r>
        <w:t xml:space="preserve">So haben </w:t>
      </w:r>
      <w:r w:rsidRPr="000959C5">
        <w:t xml:space="preserve">Produktionshelferinnen und -helfer </w:t>
      </w:r>
      <w:r>
        <w:t>bereits</w:t>
      </w:r>
      <w:r w:rsidRPr="000959C5">
        <w:t xml:space="preserve"> mit verkürzter Ausbildungszeit neue Abschlüsse erworben und ihre berufliche Perspektive gestärkt.</w:t>
      </w:r>
    </w:p>
    <w:p w14:paraId="3D89586A" w14:textId="77777777" w:rsidR="003C09DB" w:rsidRPr="000959C5" w:rsidRDefault="003C09DB" w:rsidP="003C09DB">
      <w:pPr>
        <w:spacing w:line="360" w:lineRule="auto"/>
      </w:pPr>
    </w:p>
    <w:p w14:paraId="3CB6227E" w14:textId="77777777" w:rsidR="003C09DB" w:rsidRDefault="003C09DB" w:rsidP="003C09DB">
      <w:pPr>
        <w:spacing w:line="360" w:lineRule="auto"/>
      </w:pPr>
      <w:r w:rsidRPr="000959C5">
        <w:t xml:space="preserve">„Gerade weil Veränderungen für viele eine Herausforderung darstellen, legen wir großen Wert auf Transparenz und Begleitung“, betont </w:t>
      </w:r>
      <w:r>
        <w:t>Jana Schönfeld</w:t>
      </w:r>
      <w:r w:rsidRPr="000959C5">
        <w:t>, Geschäftsführer</w:t>
      </w:r>
      <w:r>
        <w:t>in</w:t>
      </w:r>
      <w:r w:rsidRPr="000959C5">
        <w:t xml:space="preserve"> bei Hettich. „Wir wollen Möglichkeiten aufzeigen, Mut machen und gemeinsam neue Chancen nutzen.</w:t>
      </w:r>
      <w:r>
        <w:t xml:space="preserve"> Weiterbildung öffnet Türen – für jede und jeden Einzelnen und für die Zukunft von Hettich.</w:t>
      </w:r>
      <w:r w:rsidRPr="000959C5">
        <w:t>“</w:t>
      </w:r>
    </w:p>
    <w:p w14:paraId="174EEB5C" w14:textId="77777777" w:rsidR="003C09DB" w:rsidRDefault="003C09DB" w:rsidP="003C09DB">
      <w:pPr>
        <w:spacing w:line="360" w:lineRule="auto"/>
      </w:pPr>
    </w:p>
    <w:p w14:paraId="3255FFF6" w14:textId="77777777" w:rsidR="003C09DB" w:rsidRDefault="003C09DB" w:rsidP="003C09DB">
      <w:pPr>
        <w:spacing w:line="360" w:lineRule="auto"/>
      </w:pPr>
      <w:r w:rsidRPr="00B61435">
        <w:t>Darüber hinaus sucht Hettich den Austausch mit Unternehmen</w:t>
      </w:r>
      <w:r>
        <w:t xml:space="preserve"> in der Region Ostwestfalen-Lippe, um gemeinsam neue Wege in der Fachkräftesicherung zu gehen</w:t>
      </w:r>
      <w:r w:rsidRPr="00B65DDC">
        <w:t>.</w:t>
      </w:r>
      <w:r>
        <w:t xml:space="preserve"> Die Weiterbeschäftigung innerhalb der Hettich Gruppe bleibt das oberste Ziel. Wo dies aus strukturellen oder regionalen Gründen nicht möglich ist, sollen gemeinsam mit potenziellen Arbeitgebern aus der Region neue berufliche Perspektiven entstehen. In Vlotho sind viele erfahrene und gut ausgebildete Fachkräfte im Bereich Logistik und Lagerwirtschaft tätig. Diese Erfahrung und Qualifikation sollen der </w:t>
      </w:r>
      <w:r>
        <w:lastRenderedPageBreak/>
        <w:t>Region erhalten bleiben. Interessierte Unternehmen können sich dazu an Eva Wortmann, Corporate Communication der Hettich Gruppe (</w:t>
      </w:r>
      <w:hyperlink r:id="rId8" w:history="1">
        <w:r w:rsidRPr="00347739">
          <w:rPr>
            <w:rStyle w:val="Hyperlink"/>
          </w:rPr>
          <w:t>eva.wortmann@hettich.com</w:t>
        </w:r>
      </w:hyperlink>
      <w:r>
        <w:t xml:space="preserve">) wenden. </w:t>
      </w:r>
    </w:p>
    <w:p w14:paraId="36FD19BD" w14:textId="77777777" w:rsidR="00B171C7" w:rsidRDefault="00B171C7" w:rsidP="005300F8">
      <w:pPr>
        <w:tabs>
          <w:tab w:val="left" w:pos="7320"/>
        </w:tabs>
        <w:spacing w:line="360" w:lineRule="auto"/>
        <w:ind w:right="-6"/>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9">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2EEB4167" w14:textId="16AE05CB" w:rsidR="00056A6A" w:rsidRDefault="00056A6A" w:rsidP="73C07679">
      <w:pPr>
        <w:rPr>
          <w:rFonts w:eastAsia="Arial" w:cs="Arial"/>
          <w:color w:val="000000" w:themeColor="text1"/>
          <w:szCs w:val="24"/>
        </w:rPr>
      </w:pPr>
    </w:p>
    <w:p w14:paraId="1E69D1B2" w14:textId="6514F234" w:rsidR="00CF68BD" w:rsidRDefault="00CF68BD" w:rsidP="0005158D">
      <w:pPr>
        <w:rPr>
          <w:color w:val="000000" w:themeColor="text1"/>
          <w:sz w:val="22"/>
          <w:szCs w:val="22"/>
        </w:rPr>
      </w:pPr>
      <w:r>
        <w:rPr>
          <w:noProof/>
        </w:rPr>
        <w:drawing>
          <wp:inline distT="0" distB="0" distL="0" distR="0" wp14:anchorId="5D8CFC87" wp14:editId="11B6235C">
            <wp:extent cx="3271796" cy="2362810"/>
            <wp:effectExtent l="0" t="0" r="5080" b="0"/>
            <wp:docPr id="952886030" name="Grafik 3" descr="Ein Bild, das Person, Menschliches Gesicht, Kleidung,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86030" name="Grafik 3" descr="Ein Bild, das Person, Menschliches Gesicht, Kleidung, Baum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287708" cy="2374301"/>
                    </a:xfrm>
                    <a:prstGeom prst="rect">
                      <a:avLst/>
                    </a:prstGeom>
                    <a:noFill/>
                    <a:ln>
                      <a:noFill/>
                    </a:ln>
                  </pic:spPr>
                </pic:pic>
              </a:graphicData>
            </a:graphic>
          </wp:inline>
        </w:drawing>
      </w:r>
    </w:p>
    <w:p w14:paraId="44416C58" w14:textId="37C1BC83" w:rsidR="0005158D" w:rsidRDefault="003C09DB" w:rsidP="0005158D">
      <w:pPr>
        <w:rPr>
          <w:color w:val="000000" w:themeColor="text1"/>
          <w:sz w:val="22"/>
          <w:szCs w:val="22"/>
        </w:rPr>
      </w:pPr>
      <w:r>
        <w:rPr>
          <w:color w:val="000000" w:themeColor="text1"/>
          <w:sz w:val="22"/>
          <w:szCs w:val="22"/>
        </w:rPr>
        <w:t>50</w:t>
      </w:r>
      <w:r w:rsidR="0005158D">
        <w:rPr>
          <w:color w:val="000000" w:themeColor="text1"/>
          <w:sz w:val="22"/>
          <w:szCs w:val="22"/>
        </w:rPr>
        <w:t>2025_a</w:t>
      </w:r>
    </w:p>
    <w:p w14:paraId="2EC3EAE0" w14:textId="77777777" w:rsidR="00CF68BD" w:rsidRDefault="00CF68BD" w:rsidP="00CF68BD">
      <w:r>
        <w:rPr>
          <w:rFonts w:eastAsia="Arial" w:cs="Arial"/>
          <w:color w:val="000000" w:themeColor="text1"/>
          <w:sz w:val="22"/>
          <w:szCs w:val="22"/>
        </w:rPr>
        <w:t>Ja</w:t>
      </w:r>
      <w:r w:rsidRPr="008A02EA">
        <w:rPr>
          <w:rFonts w:eastAsia="Arial" w:cs="Arial"/>
          <w:color w:val="000000" w:themeColor="text1"/>
          <w:sz w:val="22"/>
          <w:szCs w:val="22"/>
        </w:rPr>
        <w:t>na Schönfeld und Lars Bohlmann aus dem Hettich-Management-Team betonen die Bedeutung von Weiterbildung in Zeiten des Wandels. Foto: Hettich</w:t>
      </w:r>
    </w:p>
    <w:p w14:paraId="24AED640" w14:textId="09B01317" w:rsidR="00E951BF" w:rsidRDefault="000D62C5" w:rsidP="73C07679">
      <w:pPr>
        <w:rPr>
          <w:rFonts w:eastAsia="Arial" w:cs="Arial"/>
          <w:color w:val="000000" w:themeColor="text1"/>
          <w:sz w:val="22"/>
          <w:szCs w:val="22"/>
        </w:rPr>
      </w:pPr>
      <w:r>
        <w:rPr>
          <w:rFonts w:eastAsia="Arial" w:cs="Arial"/>
          <w:color w:val="000000" w:themeColor="text1"/>
          <w:sz w:val="22"/>
          <w:szCs w:val="22"/>
        </w:rPr>
        <w:br/>
      </w:r>
      <w:r w:rsidR="002D63BF">
        <w:rPr>
          <w:noProof/>
        </w:rPr>
        <w:drawing>
          <wp:inline distT="0" distB="0" distL="0" distR="0" wp14:anchorId="6C067251" wp14:editId="02E8CABD">
            <wp:extent cx="3394252" cy="2261875"/>
            <wp:effectExtent l="0" t="0" r="0" b="5080"/>
            <wp:docPr id="2073575870" name="Grafik 4" descr="Ein Bild, das Himmel, draußen, Pflanze,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75870" name="Grafik 4" descr="Ein Bild, das Himmel, draußen, Pflanze, Wolke enthält.&#10;&#10;KI-generierte Inhalte können fehlerhaft sein."/>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411021" cy="2273050"/>
                    </a:xfrm>
                    <a:prstGeom prst="rect">
                      <a:avLst/>
                    </a:prstGeom>
                    <a:noFill/>
                    <a:ln>
                      <a:noFill/>
                    </a:ln>
                  </pic:spPr>
                </pic:pic>
              </a:graphicData>
            </a:graphic>
          </wp:inline>
        </w:drawing>
      </w:r>
    </w:p>
    <w:p w14:paraId="4F59E506" w14:textId="35B63A83" w:rsidR="00E951BF" w:rsidRDefault="003C09DB" w:rsidP="00E951BF">
      <w:pPr>
        <w:rPr>
          <w:color w:val="000000" w:themeColor="text1"/>
          <w:sz w:val="22"/>
          <w:szCs w:val="22"/>
        </w:rPr>
      </w:pPr>
      <w:r>
        <w:rPr>
          <w:color w:val="000000" w:themeColor="text1"/>
          <w:sz w:val="22"/>
          <w:szCs w:val="22"/>
        </w:rPr>
        <w:t>50</w:t>
      </w:r>
      <w:r w:rsidR="00E951BF">
        <w:rPr>
          <w:color w:val="000000" w:themeColor="text1"/>
          <w:sz w:val="22"/>
          <w:szCs w:val="22"/>
        </w:rPr>
        <w:t>2025_b</w:t>
      </w:r>
    </w:p>
    <w:p w14:paraId="46B3F00B" w14:textId="6844F040" w:rsidR="00E951BF" w:rsidRPr="00CF68BD" w:rsidRDefault="00CF68BD" w:rsidP="00E951BF">
      <w:pPr>
        <w:rPr>
          <w:rFonts w:eastAsia="Arial" w:cs="Arial"/>
          <w:color w:val="000000" w:themeColor="text1"/>
          <w:sz w:val="22"/>
          <w:szCs w:val="22"/>
        </w:rPr>
      </w:pPr>
      <w:r w:rsidRPr="00D64274">
        <w:rPr>
          <w:rFonts w:eastAsia="Arial" w:cs="Arial"/>
          <w:color w:val="000000" w:themeColor="text1"/>
          <w:sz w:val="22"/>
          <w:szCs w:val="22"/>
        </w:rPr>
        <w:t>Das Familienunternehmen Hettich setzt auf Weiterbildung und Qualifizierung, um Beschäftigten neue Perspektiven für die Zukunft zu eröffnen. Foto: Hettich</w:t>
      </w: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lastRenderedPageBreak/>
        <w:t>Ü</w:t>
      </w:r>
      <w:r w:rsidRPr="009F17CE">
        <w:rPr>
          <w:rFonts w:cs="Arial"/>
          <w:sz w:val="20"/>
          <w:u w:val="single"/>
        </w:rPr>
        <w:t>ber Hettich</w:t>
      </w:r>
    </w:p>
    <w:p w14:paraId="0EBABCC5" w14:textId="1498D243" w:rsidR="00571996"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4A890423" w14:textId="77777777" w:rsidR="00CF48CC" w:rsidRPr="00CF48CC" w:rsidRDefault="00CF48CC" w:rsidP="00CF48CC">
      <w:pPr>
        <w:rPr>
          <w:rFonts w:cs="Arial"/>
          <w:sz w:val="20"/>
          <w:szCs w:val="18"/>
        </w:rPr>
      </w:pPr>
    </w:p>
    <w:p w14:paraId="47B64D50" w14:textId="77777777" w:rsidR="00CF48CC" w:rsidRPr="00CF48CC" w:rsidRDefault="00CF48CC" w:rsidP="00CF48CC">
      <w:pPr>
        <w:rPr>
          <w:rFonts w:cs="Arial"/>
          <w:sz w:val="20"/>
          <w:szCs w:val="18"/>
        </w:rPr>
      </w:pPr>
    </w:p>
    <w:p w14:paraId="7AC6A4A8" w14:textId="77777777" w:rsidR="00CF48CC" w:rsidRPr="00CF48CC" w:rsidRDefault="00CF48CC" w:rsidP="00CF48CC">
      <w:pPr>
        <w:rPr>
          <w:rFonts w:cs="Arial"/>
          <w:sz w:val="20"/>
          <w:szCs w:val="18"/>
        </w:rPr>
      </w:pPr>
    </w:p>
    <w:p w14:paraId="09FDBFF2" w14:textId="77777777" w:rsidR="00CF48CC" w:rsidRPr="00CF48CC" w:rsidRDefault="00CF48CC" w:rsidP="00CF48CC">
      <w:pPr>
        <w:rPr>
          <w:rFonts w:cs="Arial"/>
          <w:sz w:val="20"/>
          <w:szCs w:val="18"/>
        </w:rPr>
      </w:pPr>
    </w:p>
    <w:p w14:paraId="716E4D3F" w14:textId="77777777" w:rsidR="00CF48CC" w:rsidRPr="00CF48CC" w:rsidRDefault="00CF48CC" w:rsidP="00CF48CC">
      <w:pPr>
        <w:rPr>
          <w:rFonts w:cs="Arial"/>
          <w:sz w:val="20"/>
          <w:szCs w:val="18"/>
        </w:rPr>
      </w:pPr>
    </w:p>
    <w:p w14:paraId="350F8D1B" w14:textId="77777777" w:rsidR="00CF48CC" w:rsidRPr="00CF48CC" w:rsidRDefault="00CF48CC" w:rsidP="00CF48CC">
      <w:pPr>
        <w:rPr>
          <w:rFonts w:cs="Arial"/>
          <w:sz w:val="20"/>
          <w:szCs w:val="18"/>
        </w:rPr>
      </w:pPr>
    </w:p>
    <w:p w14:paraId="47C6CCCC" w14:textId="77777777" w:rsidR="00CF48CC" w:rsidRPr="00CF48CC" w:rsidRDefault="00CF48CC" w:rsidP="00CF48CC">
      <w:pPr>
        <w:rPr>
          <w:rFonts w:cs="Arial"/>
          <w:sz w:val="20"/>
          <w:szCs w:val="18"/>
        </w:rPr>
      </w:pPr>
    </w:p>
    <w:p w14:paraId="412C1432" w14:textId="77777777" w:rsidR="00CF48CC" w:rsidRPr="00CF48CC" w:rsidRDefault="00CF48CC" w:rsidP="00CF48CC">
      <w:pPr>
        <w:rPr>
          <w:rFonts w:cs="Arial"/>
          <w:sz w:val="20"/>
          <w:szCs w:val="18"/>
        </w:rPr>
      </w:pPr>
    </w:p>
    <w:p w14:paraId="1B3F28C0" w14:textId="77777777" w:rsidR="00CF48CC" w:rsidRPr="00CF48CC" w:rsidRDefault="00CF48CC" w:rsidP="00CF48CC">
      <w:pPr>
        <w:rPr>
          <w:rFonts w:cs="Arial"/>
          <w:sz w:val="20"/>
          <w:szCs w:val="18"/>
        </w:rPr>
      </w:pPr>
    </w:p>
    <w:p w14:paraId="00152A68" w14:textId="77777777" w:rsidR="00CF48CC" w:rsidRPr="00CF48CC" w:rsidRDefault="00CF48CC" w:rsidP="00CF48CC">
      <w:pPr>
        <w:rPr>
          <w:rFonts w:cs="Arial"/>
          <w:sz w:val="20"/>
          <w:szCs w:val="18"/>
        </w:rPr>
      </w:pPr>
    </w:p>
    <w:p w14:paraId="2F574331" w14:textId="77777777" w:rsidR="00CF48CC" w:rsidRPr="00CF48CC" w:rsidRDefault="00CF48CC" w:rsidP="00CF48CC">
      <w:pPr>
        <w:rPr>
          <w:rFonts w:cs="Arial"/>
          <w:sz w:val="20"/>
          <w:szCs w:val="18"/>
        </w:rPr>
      </w:pPr>
    </w:p>
    <w:p w14:paraId="04D2F7BB" w14:textId="77777777" w:rsidR="00CF48CC" w:rsidRPr="00CF48CC" w:rsidRDefault="00CF48CC" w:rsidP="00CF48CC">
      <w:pPr>
        <w:rPr>
          <w:rFonts w:cs="Arial"/>
          <w:sz w:val="20"/>
          <w:szCs w:val="18"/>
        </w:rPr>
      </w:pPr>
    </w:p>
    <w:p w14:paraId="5593A661" w14:textId="77777777" w:rsidR="00CF48CC" w:rsidRPr="00CF48CC" w:rsidRDefault="00CF48CC" w:rsidP="00CF48CC">
      <w:pPr>
        <w:rPr>
          <w:rFonts w:cs="Arial"/>
          <w:sz w:val="20"/>
          <w:szCs w:val="18"/>
        </w:rPr>
      </w:pPr>
    </w:p>
    <w:p w14:paraId="1194B96A" w14:textId="77777777" w:rsidR="00CF48CC" w:rsidRPr="00CF48CC" w:rsidRDefault="00CF48CC" w:rsidP="00CF48CC">
      <w:pPr>
        <w:rPr>
          <w:rFonts w:cs="Arial"/>
          <w:sz w:val="20"/>
          <w:szCs w:val="18"/>
        </w:rPr>
      </w:pPr>
    </w:p>
    <w:p w14:paraId="555D4816" w14:textId="77777777" w:rsidR="00CF48CC" w:rsidRDefault="00CF48CC" w:rsidP="00CF48CC">
      <w:pPr>
        <w:rPr>
          <w:rFonts w:cs="Arial"/>
          <w:color w:val="000000" w:themeColor="text1"/>
          <w:sz w:val="20"/>
          <w:szCs w:val="18"/>
        </w:rPr>
      </w:pPr>
    </w:p>
    <w:p w14:paraId="7457BA3E" w14:textId="77777777" w:rsidR="00CF48CC" w:rsidRDefault="00CF48CC" w:rsidP="00CF48CC">
      <w:pPr>
        <w:rPr>
          <w:rFonts w:cs="Arial"/>
          <w:color w:val="000000" w:themeColor="text1"/>
          <w:sz w:val="20"/>
          <w:szCs w:val="18"/>
        </w:rPr>
      </w:pP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036" w14:textId="77777777" w:rsidR="006F70B9" w:rsidRDefault="006F70B9">
      <w:r>
        <w:separator/>
      </w:r>
    </w:p>
  </w:endnote>
  <w:endnote w:type="continuationSeparator" w:id="0">
    <w:p w14:paraId="0F983C0F"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471998A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50</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471998A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50</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3A0" w14:textId="77777777" w:rsidR="006F70B9" w:rsidRDefault="006F70B9">
      <w:r>
        <w:separator/>
      </w:r>
    </w:p>
  </w:footnote>
  <w:footnote w:type="continuationSeparator" w:id="0">
    <w:p w14:paraId="15C817F5"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380"/>
    <w:rsid w:val="00005E10"/>
    <w:rsid w:val="000067B2"/>
    <w:rsid w:val="00006C15"/>
    <w:rsid w:val="00007AE3"/>
    <w:rsid w:val="00010650"/>
    <w:rsid w:val="00010AAD"/>
    <w:rsid w:val="000115BE"/>
    <w:rsid w:val="00011D00"/>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5F69"/>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3F"/>
    <w:rsid w:val="000F4376"/>
    <w:rsid w:val="000F5756"/>
    <w:rsid w:val="000F5947"/>
    <w:rsid w:val="000F5956"/>
    <w:rsid w:val="000F7581"/>
    <w:rsid w:val="000F76B9"/>
    <w:rsid w:val="00100286"/>
    <w:rsid w:val="001002C9"/>
    <w:rsid w:val="0010226C"/>
    <w:rsid w:val="00102F51"/>
    <w:rsid w:val="00104861"/>
    <w:rsid w:val="00105DE5"/>
    <w:rsid w:val="00106057"/>
    <w:rsid w:val="001061BC"/>
    <w:rsid w:val="00106719"/>
    <w:rsid w:val="00106CF3"/>
    <w:rsid w:val="00106E9C"/>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DFF"/>
    <w:rsid w:val="00141170"/>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385B"/>
    <w:rsid w:val="001E4F13"/>
    <w:rsid w:val="001E5A75"/>
    <w:rsid w:val="001E5E37"/>
    <w:rsid w:val="001E642B"/>
    <w:rsid w:val="001E6571"/>
    <w:rsid w:val="001E6CB3"/>
    <w:rsid w:val="001E79E8"/>
    <w:rsid w:val="001E7A1C"/>
    <w:rsid w:val="001F0AE4"/>
    <w:rsid w:val="001F0FD4"/>
    <w:rsid w:val="001F1C08"/>
    <w:rsid w:val="001F3744"/>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17595"/>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4534C"/>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0447"/>
    <w:rsid w:val="002D1062"/>
    <w:rsid w:val="002D1426"/>
    <w:rsid w:val="002D148A"/>
    <w:rsid w:val="002D17E4"/>
    <w:rsid w:val="002D19E0"/>
    <w:rsid w:val="002D3A68"/>
    <w:rsid w:val="002D47CB"/>
    <w:rsid w:val="002D5090"/>
    <w:rsid w:val="002D611C"/>
    <w:rsid w:val="002D63BF"/>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8BD"/>
    <w:rsid w:val="00364E11"/>
    <w:rsid w:val="00364EEC"/>
    <w:rsid w:val="003655A6"/>
    <w:rsid w:val="00365D0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09DB"/>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F072A"/>
    <w:rsid w:val="003F09DA"/>
    <w:rsid w:val="003F0A4A"/>
    <w:rsid w:val="003F13DB"/>
    <w:rsid w:val="003F1F52"/>
    <w:rsid w:val="003F238F"/>
    <w:rsid w:val="003F2693"/>
    <w:rsid w:val="003F3797"/>
    <w:rsid w:val="003F5E38"/>
    <w:rsid w:val="003F6B05"/>
    <w:rsid w:val="004001E9"/>
    <w:rsid w:val="00400BE4"/>
    <w:rsid w:val="00402037"/>
    <w:rsid w:val="0040326F"/>
    <w:rsid w:val="00403307"/>
    <w:rsid w:val="00404A19"/>
    <w:rsid w:val="00411C34"/>
    <w:rsid w:val="004133EF"/>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4CB3"/>
    <w:rsid w:val="004A4E0C"/>
    <w:rsid w:val="004A4F97"/>
    <w:rsid w:val="004A595F"/>
    <w:rsid w:val="004A6F92"/>
    <w:rsid w:val="004A73F9"/>
    <w:rsid w:val="004B0C28"/>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592"/>
    <w:rsid w:val="004D1125"/>
    <w:rsid w:val="004D1458"/>
    <w:rsid w:val="004D15C5"/>
    <w:rsid w:val="004D1B6C"/>
    <w:rsid w:val="004D21DE"/>
    <w:rsid w:val="004D4120"/>
    <w:rsid w:val="004D47E2"/>
    <w:rsid w:val="004E007B"/>
    <w:rsid w:val="004E0B6C"/>
    <w:rsid w:val="004E1BD1"/>
    <w:rsid w:val="004E36E1"/>
    <w:rsid w:val="004E5B11"/>
    <w:rsid w:val="004E66B4"/>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408C"/>
    <w:rsid w:val="0053418F"/>
    <w:rsid w:val="00535EA3"/>
    <w:rsid w:val="005376A2"/>
    <w:rsid w:val="00537962"/>
    <w:rsid w:val="00541433"/>
    <w:rsid w:val="00542707"/>
    <w:rsid w:val="00542D2F"/>
    <w:rsid w:val="00542DA6"/>
    <w:rsid w:val="00545165"/>
    <w:rsid w:val="00551326"/>
    <w:rsid w:val="0055156A"/>
    <w:rsid w:val="00553E29"/>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57C55"/>
    <w:rsid w:val="006626C3"/>
    <w:rsid w:val="006654F3"/>
    <w:rsid w:val="00665A27"/>
    <w:rsid w:val="006704C5"/>
    <w:rsid w:val="00672FCB"/>
    <w:rsid w:val="00673643"/>
    <w:rsid w:val="00673938"/>
    <w:rsid w:val="00677FE8"/>
    <w:rsid w:val="00680D0B"/>
    <w:rsid w:val="00681304"/>
    <w:rsid w:val="006820C9"/>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1101"/>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5096"/>
    <w:rsid w:val="00756D65"/>
    <w:rsid w:val="00757C4F"/>
    <w:rsid w:val="00762905"/>
    <w:rsid w:val="0076301B"/>
    <w:rsid w:val="00764544"/>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3295"/>
    <w:rsid w:val="007A3307"/>
    <w:rsid w:val="007A335D"/>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ACA"/>
    <w:rsid w:val="007C051E"/>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4019"/>
    <w:rsid w:val="007D5808"/>
    <w:rsid w:val="007D5A56"/>
    <w:rsid w:val="007D6D3C"/>
    <w:rsid w:val="007D701C"/>
    <w:rsid w:val="007D79FA"/>
    <w:rsid w:val="007E0C0F"/>
    <w:rsid w:val="007E0F59"/>
    <w:rsid w:val="007E327F"/>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92C"/>
    <w:rsid w:val="008A02EA"/>
    <w:rsid w:val="008A035C"/>
    <w:rsid w:val="008A0782"/>
    <w:rsid w:val="008A0BFF"/>
    <w:rsid w:val="008A0FE3"/>
    <w:rsid w:val="008A1AE1"/>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248A"/>
    <w:rsid w:val="00A02C75"/>
    <w:rsid w:val="00A03082"/>
    <w:rsid w:val="00A033DF"/>
    <w:rsid w:val="00A03954"/>
    <w:rsid w:val="00A042E7"/>
    <w:rsid w:val="00A04343"/>
    <w:rsid w:val="00A05AF2"/>
    <w:rsid w:val="00A06E61"/>
    <w:rsid w:val="00A06EBC"/>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1B1"/>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02FD"/>
    <w:rsid w:val="00BE15E1"/>
    <w:rsid w:val="00BE1BB0"/>
    <w:rsid w:val="00BE3380"/>
    <w:rsid w:val="00BE4838"/>
    <w:rsid w:val="00BE4A8F"/>
    <w:rsid w:val="00BE4D30"/>
    <w:rsid w:val="00BE5B3B"/>
    <w:rsid w:val="00BE635A"/>
    <w:rsid w:val="00BE6369"/>
    <w:rsid w:val="00BE791A"/>
    <w:rsid w:val="00BF2D63"/>
    <w:rsid w:val="00BF2E47"/>
    <w:rsid w:val="00BF35F8"/>
    <w:rsid w:val="00BF3929"/>
    <w:rsid w:val="00BF3AAD"/>
    <w:rsid w:val="00BF481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1A1C"/>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094"/>
    <w:rsid w:val="00CC6352"/>
    <w:rsid w:val="00CC638C"/>
    <w:rsid w:val="00CC728A"/>
    <w:rsid w:val="00CC7A37"/>
    <w:rsid w:val="00CC7D35"/>
    <w:rsid w:val="00CD1468"/>
    <w:rsid w:val="00CD17AD"/>
    <w:rsid w:val="00CD2A2B"/>
    <w:rsid w:val="00CD2A48"/>
    <w:rsid w:val="00CD3072"/>
    <w:rsid w:val="00CD3A08"/>
    <w:rsid w:val="00CD3D2B"/>
    <w:rsid w:val="00CD5BFC"/>
    <w:rsid w:val="00CD64CF"/>
    <w:rsid w:val="00CE0C7A"/>
    <w:rsid w:val="00CE150C"/>
    <w:rsid w:val="00CE2F75"/>
    <w:rsid w:val="00CE7CBC"/>
    <w:rsid w:val="00CF114F"/>
    <w:rsid w:val="00CF130C"/>
    <w:rsid w:val="00CF1F33"/>
    <w:rsid w:val="00CF266E"/>
    <w:rsid w:val="00CF3085"/>
    <w:rsid w:val="00CF4153"/>
    <w:rsid w:val="00CF48CC"/>
    <w:rsid w:val="00CF590D"/>
    <w:rsid w:val="00CF5A74"/>
    <w:rsid w:val="00CF68BD"/>
    <w:rsid w:val="00CF6AA1"/>
    <w:rsid w:val="00CF7283"/>
    <w:rsid w:val="00CF76A5"/>
    <w:rsid w:val="00CF7AEF"/>
    <w:rsid w:val="00CF7B65"/>
    <w:rsid w:val="00D00D58"/>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274"/>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86E77"/>
    <w:rsid w:val="00D90142"/>
    <w:rsid w:val="00D906AA"/>
    <w:rsid w:val="00D90F28"/>
    <w:rsid w:val="00D9113C"/>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5EF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1F17"/>
    <w:rsid w:val="00E429F7"/>
    <w:rsid w:val="00E4537C"/>
    <w:rsid w:val="00E51362"/>
    <w:rsid w:val="00E526FD"/>
    <w:rsid w:val="00E52A88"/>
    <w:rsid w:val="00E535AB"/>
    <w:rsid w:val="00E53A3C"/>
    <w:rsid w:val="00E55BD5"/>
    <w:rsid w:val="00E57D31"/>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162"/>
    <w:rsid w:val="00EC62A2"/>
    <w:rsid w:val="00EC706F"/>
    <w:rsid w:val="00EC765E"/>
    <w:rsid w:val="00EC78EC"/>
    <w:rsid w:val="00ED0564"/>
    <w:rsid w:val="00ED0647"/>
    <w:rsid w:val="00ED0729"/>
    <w:rsid w:val="00ED087D"/>
    <w:rsid w:val="00ED1394"/>
    <w:rsid w:val="00ED13F7"/>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53AA"/>
    <w:rsid w:val="00F57C26"/>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F40"/>
    <w:rsid w:val="00F813C4"/>
    <w:rsid w:val="00F81AFD"/>
    <w:rsid w:val="00F81E32"/>
    <w:rsid w:val="00F8202A"/>
    <w:rsid w:val="00F83517"/>
    <w:rsid w:val="00F8363D"/>
    <w:rsid w:val="00F8369F"/>
    <w:rsid w:val="00F87A0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0DCB"/>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wortmann@hettic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hettich.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532</Words>
  <Characters>3658</Characters>
  <Application>Microsoft Office Word</Application>
  <DocSecurity>0</DocSecurity>
  <Lines>106</Lines>
  <Paragraphs>17</Paragraphs>
  <ScaleCrop>false</ScaleCrop>
  <HeadingPairs>
    <vt:vector size="2" baseType="variant">
      <vt:variant>
        <vt:lpstr>Titel</vt:lpstr>
      </vt:variant>
      <vt:variant>
        <vt:i4>1</vt:i4>
      </vt:variant>
    </vt:vector>
  </HeadingPairs>
  <TitlesOfParts>
    <vt:vector size="1" baseType="lpstr">
      <vt:lpstr>Hettich eröffnet Wege durch Weiterbildung</vt:lpstr>
    </vt:vector>
  </TitlesOfParts>
  <Company/>
  <LinksUpToDate>false</LinksUpToDate>
  <CharactersWithSpaces>4181</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eröffnet Wege durch Weiterbildung</dc:title>
  <dc:subject/>
  <dc:creator>Eva Langner</dc:creator>
  <cp:keywords/>
  <cp:lastModifiedBy>Eva Wortmann</cp:lastModifiedBy>
  <cp:revision>8</cp:revision>
  <cp:lastPrinted>2024-01-02T22:10:00Z</cp:lastPrinted>
  <dcterms:created xsi:type="dcterms:W3CDTF">2025-10-14T09:27:00Z</dcterms:created>
  <dcterms:modified xsi:type="dcterms:W3CDTF">2025-10-15T04:38:00Z</dcterms:modified>
</cp:coreProperties>
</file>