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28" w14:textId="23FB24AE" w:rsidR="00421E07" w:rsidRPr="00421E07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A szekrénybelső újragondolása: </w:t>
      </w:r>
      <w:r>
        <w:rPr>
          <w:rFonts w:cs="Arial"/>
          <w:b/>
          <w:color w:val="auto"/>
          <w:szCs w:val="24"/>
        </w:rPr>
        <w:br/>
        <w:t>Több hely, több rend, több rugalmasság</w:t>
      </w:r>
    </w:p>
    <w:p w14:paraId="55C7E18B" w14:textId="77777777" w:rsid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9E357E" w14:textId="5E16F430" w:rsidR="00421E0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A Hettich egyesíti erősségeit, hogy gondosan átgondolt megoldásokat kínáljon a szekrénybelsőkhöz. Átgondolt szervezettség, kényelem, személyre szabhatóság – a könnyen használható tárolóhelyek iránti igény egyre növekszik. A családi tulajdonban lévő vállalat erre a trendre reagál egy újonnan meghatározott termékszegmens bemutatásával, amely élelmiszerek, edények, ruhák és egyéb multifunkcionális felhasználású tárgyak tárolására szolgál – a való élet ihlette, minden apró részletében tökéletesítve.</w:t>
      </w:r>
    </w:p>
    <w:p w14:paraId="3FCC38B3" w14:textId="77777777" w:rsidR="00421E07" w:rsidRPr="009B3F52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76D5A7" w14:textId="2DFED76F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Ezzel az újonnan elhelyezett termékpalettával a Hettich hangsúlyozza rendszerszolgáltatói szakértelmét, bemutatva, hogyan működnek ma az intelligens szekrény- és gardróbbelsők. Legyen szó kamraszekrényekről, alsószekrényekről vagy sarokszekrényekről – a Hettich vasalatrendszerei optimalizálják a bútorfront mögötti tárolótereket, és praktikus funkcionalitást biztosítanak. Itt négy dizájnvonal kínál maximális kreatív rugalmasságot: kerek, krómozott huzalból készült acélkosarak, porszórt acél kihúzható polcok szilárd felülettel, kihúzható polcok krómozott körhuzal korláttal vagy modern lapos drótkorláttal. Tehát minden ízlésnek és igénynek kínálunk valamit. Itt a dizájn, a technológia és a funkcionalitás zökkenőmentes szimbiózisban egyesül.</w:t>
      </w:r>
    </w:p>
    <w:p w14:paraId="475541BD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30EDBAB5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Egy rendszer – számos lehetőség</w:t>
      </w:r>
    </w:p>
    <w:p w14:paraId="4ADCB600" w14:textId="4AC1C3F0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A Hettich bútorbelsői maximális tárolóhelyet garantálnak stílusos megjelenéssel és lenyűgöző ergonómiával. Az egységes </w:t>
      </w:r>
      <w:r>
        <w:rPr>
          <w:rFonts w:cs="Arial"/>
          <w:bCs/>
          <w:color w:val="auto"/>
          <w:szCs w:val="24"/>
        </w:rPr>
        <w:lastRenderedPageBreak/>
        <w:t xml:space="preserve">koncepció testreszabható és sokféleképpen alkalmazható, a klasszikus belső edény- és serpenyős fiókoktól kezdve a gondosan átgondolt magas és sarokszekrény-belsőkig. A szerelvényspecialista számos kombinációt kínál, az antracit színű, színben harmonizáló elemek más Hettich termékek dizájnjához igazodnak, hogy tökéletesen kiegyensúlyozott összképet alkossanak. </w:t>
      </w:r>
    </w:p>
    <w:p w14:paraId="07EEA0A6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6FB79C6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Inspiráció bármilyen alkalmazáshoz</w:t>
      </w:r>
    </w:p>
    <w:p w14:paraId="301BF343" w14:textId="2E8E7F81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Akár konyha, fürdőszoba, mosókonyha, öltöző vagy home office – a Hettich megmutatja, hogyan tudnak a bútorok belülről is izgalmasak lenni. Az új termékcsalád moduláris elemekkel, digitális tervezési támogatással és átfogó marketinganyagokkal segíti a kiskereskedőket, a szakmát, az ipart és az építészeket.</w:t>
      </w:r>
    </w:p>
    <w:p w14:paraId="1DD7CD2B" w14:textId="77777777" w:rsid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E93FF65" w14:textId="63955CC9" w:rsidR="00FE0FF7" w:rsidRP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Tudjon meg többet itt: </w:t>
      </w:r>
      <w:hyperlink r:id="rId8" w:history="1">
        <w:r>
          <w:rPr>
            <w:rStyle w:val="Hyperlink"/>
            <w:rFonts w:cs="Arial"/>
            <w:bCs/>
            <w:szCs w:val="24"/>
          </w:rPr>
          <w:t>https://www.hettich.com/short/nz8lkcr</w:t>
        </w:r>
      </w:hyperlink>
      <w:r>
        <w:rPr>
          <w:rFonts w:cs="Arial"/>
          <w:bCs/>
          <w:color w:val="auto"/>
          <w:szCs w:val="24"/>
        </w:rPr>
        <w:t xml:space="preserve"> </w:t>
      </w:r>
    </w:p>
    <w:p w14:paraId="6F2E42B8" w14:textId="77777777" w:rsidR="00421E07" w:rsidRDefault="00421E07" w:rsidP="00421E07">
      <w:pPr>
        <w:spacing w:line="360" w:lineRule="auto"/>
        <w:rPr>
          <w:rFonts w:cs="Arial"/>
          <w:bCs/>
          <w:color w:val="FF0000"/>
          <w:szCs w:val="24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proofErr w:type="spellStart"/>
      <w:r>
        <w:rPr>
          <w:rFonts w:cs="Arial"/>
          <w:color w:val="auto"/>
          <w:szCs w:val="24"/>
        </w:rPr>
        <w:t>Az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alábbi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képanyag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letölthető</w:t>
      </w:r>
      <w:proofErr w:type="spellEnd"/>
      <w:r>
        <w:rPr>
          <w:rFonts w:cs="Arial"/>
          <w:color w:val="auto"/>
          <w:szCs w:val="24"/>
        </w:rPr>
        <w:t xml:space="preserve"> a </w:t>
      </w:r>
      <w:r>
        <w:rPr>
          <w:rFonts w:cs="Arial"/>
          <w:b/>
          <w:color w:val="auto"/>
          <w:szCs w:val="24"/>
        </w:rPr>
        <w:t xml:space="preserve">www.hettich.com </w:t>
      </w:r>
      <w:r>
        <w:rPr>
          <w:rFonts w:cs="Arial"/>
          <w:color w:val="auto"/>
          <w:szCs w:val="24"/>
        </w:rPr>
        <w:t xml:space="preserve">weboldal </w:t>
      </w:r>
      <w:r>
        <w:rPr>
          <w:rFonts w:cs="Arial"/>
          <w:b/>
          <w:color w:val="auto"/>
          <w:szCs w:val="24"/>
        </w:rPr>
        <w:t>„Press” menüpontjából:</w:t>
      </w:r>
    </w:p>
    <w:p w14:paraId="3B501946" w14:textId="753536BA" w:rsidR="00421E07" w:rsidRP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0AE6544C" w14:textId="2E719549" w:rsidR="00421E07" w:rsidRPr="00421E07" w:rsidRDefault="00FE0FF7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1213A5">
        <w:rPr>
          <w:rFonts w:cs="Arial"/>
          <w:noProof/>
        </w:rPr>
        <w:drawing>
          <wp:inline distT="0" distB="0" distL="0" distR="0" wp14:anchorId="1E65BCAE" wp14:editId="512819EE">
            <wp:extent cx="1584000" cy="1139000"/>
            <wp:effectExtent l="0" t="0" r="0" b="4445"/>
            <wp:docPr id="7698347" name="Grafik 1" descr="Ein Bild, das Im Haus, Möbel, Regale, Schran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347" name="Grafik 1" descr="Ein Bild, das Im Haus, Möbel, Regale, Schrank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76A" w14:textId="4298EA16" w:rsidR="00421E07" w:rsidRPr="004D205E" w:rsidRDefault="009B3F52" w:rsidP="00421E07">
      <w:pPr>
        <w:rPr>
          <w:rFonts w:cs="Arial"/>
          <w:b/>
          <w:color w:val="auto"/>
          <w:sz w:val="22"/>
          <w:szCs w:val="22"/>
          <w:lang w:val="sv-SE"/>
        </w:rPr>
      </w:pPr>
      <w:r w:rsidRPr="004D205E">
        <w:rPr>
          <w:rFonts w:cs="Arial"/>
          <w:b/>
          <w:color w:val="auto"/>
          <w:sz w:val="22"/>
          <w:szCs w:val="22"/>
          <w:lang w:val="sv-SE"/>
        </w:rPr>
        <w:t>302025_a</w:t>
      </w:r>
    </w:p>
    <w:p w14:paraId="4B252309" w14:textId="289839C8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4D205E">
        <w:rPr>
          <w:rFonts w:cs="Arial"/>
          <w:bCs/>
          <w:color w:val="auto"/>
          <w:sz w:val="22"/>
          <w:szCs w:val="22"/>
          <w:lang w:val="sv-SE"/>
        </w:rPr>
        <w:t xml:space="preserve">A Hettich „Iseo” elforgatható fiókja optimális rendezettséget és ergonomikus hozzáférést biztosít minden tartalomhoz, még a magas szekrény hátuljában is. Az elegáns antracit színű (DesignLine 400) lapos drótkorlát kiemeli a letisztult vonalakat. </w:t>
      </w:r>
      <w:proofErr w:type="spellStart"/>
      <w:r>
        <w:rPr>
          <w:rFonts w:cs="Arial"/>
          <w:bCs/>
          <w:color w:val="auto"/>
          <w:sz w:val="22"/>
          <w:szCs w:val="22"/>
        </w:rPr>
        <w:t>Fotó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: Hettich </w:t>
      </w:r>
    </w:p>
    <w:p w14:paraId="2269F633" w14:textId="77777777" w:rsidR="00776E7A" w:rsidRPr="00421E07" w:rsidRDefault="00776E7A" w:rsidP="00421E07">
      <w:pPr>
        <w:rPr>
          <w:rFonts w:cs="Arial"/>
          <w:bCs/>
          <w:color w:val="auto"/>
          <w:sz w:val="22"/>
          <w:szCs w:val="22"/>
        </w:rPr>
      </w:pPr>
    </w:p>
    <w:p w14:paraId="6ABE000F" w14:textId="5FD0FAF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lastRenderedPageBreak/>
        <w:drawing>
          <wp:inline distT="0" distB="0" distL="0" distR="0" wp14:anchorId="6F380495" wp14:editId="448AD1AA">
            <wp:extent cx="1584000" cy="1138997"/>
            <wp:effectExtent l="0" t="0" r="0" b="4445"/>
            <wp:docPr id="473258341" name="Grafik 1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58341" name="Grafik 1" descr="Ein Bild, das Im Haus, Wand, Inneneinrichtung, Möbe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4E56" w14:textId="2CAB1A0F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302025_b</w:t>
      </w:r>
    </w:p>
    <w:p w14:paraId="48433AD3" w14:textId="5616B853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 xml:space="preserve">Kompakt tárolás, okosan rendszerezve: az „Olona” magas szekrényfiók előre helyezi a konyhai eszközöket, így azok könnyen láthatók és elérhetőek. Fotó: Hettich </w:t>
      </w:r>
    </w:p>
    <w:p w14:paraId="5634798E" w14:textId="77777777" w:rsidR="00421E07" w:rsidRDefault="00421E07" w:rsidP="00421E07">
      <w:pPr>
        <w:rPr>
          <w:rFonts w:cs="Arial"/>
          <w:bCs/>
          <w:color w:val="auto"/>
          <w:sz w:val="22"/>
          <w:szCs w:val="22"/>
        </w:rPr>
      </w:pPr>
    </w:p>
    <w:p w14:paraId="4116287D" w14:textId="73A8E46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314E757E" wp14:editId="493E551B">
            <wp:extent cx="1584000" cy="1142819"/>
            <wp:effectExtent l="0" t="0" r="0" b="635"/>
            <wp:docPr id="167201237" name="Grafik 1" descr="Ein Bild, das Küchengerät, Im Haus, Haushaltsgerät, Wasch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237" name="Grafik 1" descr="Ein Bild, das Küchengerät, Im Haus, Haushaltsgerät, Waschbecken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8836" w14:textId="5078A969" w:rsidR="00421E07" w:rsidRDefault="009B3F52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302025_c</w:t>
      </w:r>
    </w:p>
    <w:p w14:paraId="3F2CD484" w14:textId="72DB647D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Maximális helykihasználás és könnyű hozzáférés, még az alsószekrényben is: a „Naro” teljesen kihúzható fiók rendezett és átlátható rendszerezést biztosít – még nehéz konyhai gépek esetén is. A zárt oldalak és az integrált csúszásgátló alátét mindent biztonságosan a helyén tart. Fotó: Hettich</w:t>
      </w:r>
    </w:p>
    <w:p w14:paraId="1A1C8CAE" w14:textId="77777777" w:rsidR="006B29B7" w:rsidRDefault="006B29B7" w:rsidP="00421E07">
      <w:pPr>
        <w:rPr>
          <w:rFonts w:cs="Arial"/>
          <w:bCs/>
          <w:color w:val="auto"/>
          <w:sz w:val="22"/>
          <w:szCs w:val="22"/>
        </w:rPr>
      </w:pPr>
    </w:p>
    <w:p w14:paraId="0E655E09" w14:textId="6B895EB1" w:rsidR="00FE0FF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1002A5D6" wp14:editId="506A0024">
            <wp:extent cx="1584000" cy="1140480"/>
            <wp:effectExtent l="0" t="0" r="0" b="2540"/>
            <wp:docPr id="1371084187" name="Grafik 1" descr="Ein Bild, das Im Haus, Möbel, Waschbecke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4187" name="Grafik 1" descr="Ein Bild, das Im Haus, Möbel, Waschbecken, Wand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CC06" w14:textId="68DC9870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302025_d</w:t>
      </w:r>
    </w:p>
    <w:p w14:paraId="4825E2C2" w14:textId="213BE936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Hatékonyan kihasznált sarkok: a sarokszekrényhez való „Salso” forgókihúzós rendszer még a legnehezebb helyeket is könnyen hozzáférhető tárolóhellyé alakítja. A porszórt acélpolcok (DesignLine 200) fiókonként akár 36 kg teherbírást biztosítanak. Fotó: Hettich</w:t>
      </w:r>
    </w:p>
    <w:p w14:paraId="3A6FBF5E" w14:textId="77777777" w:rsidR="00682C48" w:rsidRPr="00421E07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3FE477" w14:textId="77777777" w:rsidR="00571996" w:rsidRPr="00421E07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w:t>A Hettichről</w:t>
      </w:r>
    </w:p>
    <w:p w14:paraId="29D80DC3" w14:textId="118CCE9B" w:rsidR="00571996" w:rsidRPr="00421E07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Az 1888-ban alapított Hettich napjaink egyik legnagyobb és legsikeresebb bútorszerelvény-gyártója a nemzetközi színtéren. A családi vállalkozás székhelye a németországi Kirchlengernben, a kelet-vesztfáliai bútorgyártó központban található. Mintegy 8 400 munkatársunk dolgozik együtt, hogy több mint 100 országban biztosítsuk jövőbiztos megoldásainkat. Az "It's all in Hettich" ígérettel a Hettich márka átfogó szolgáltatáscsomagot kínál, amely következetesen és határozottan az ügyfelek igényeihez igazodik szerte a világon. Hagyományaink szerint a társadalmi, szociális és ökológiai szintű fenntarthatóság biztosítása mindig is a legfőbb prioritás volt minden tevékenységünk középpontjában.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421E07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Kapcsolat: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Voucher szükséges</w:t>
                          </w:r>
                        </w:p>
                        <w:p w14:paraId="0631CA96" w14:textId="77777777" w:rsidR="00230446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5F35551B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PR_302025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Kapcsolat: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Voucher szükséges</w:t>
                    </w:r>
                  </w:p>
                  <w:p w14:paraId="0631CA96" w14:textId="77777777" w:rsidR="00230446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5F35551B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PR_302025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05E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2D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nz8lkc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.hettich.com/en-de/products-eshop/technology-and-innovations" TargetMode="External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475</Words>
  <Characters>3770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Schrankinnenausstattung neu gedacht: Mehr Raum, mehr Ordnung, mehr Flexibilität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szekrénybelső újragondolása: Több hely, több rend, több rugalmasság</dc:title>
  <dc:creator>Anke Wöhler</dc:creator>
  <cp:lastModifiedBy>Nina Thenhausen</cp:lastModifiedBy>
  <cp:revision>21</cp:revision>
  <cp:lastPrinted>2025-10-15T13:30:00Z</cp:lastPrinted>
  <dcterms:created xsi:type="dcterms:W3CDTF">2025-03-17T13:51:00Z</dcterms:created>
  <dcterms:modified xsi:type="dcterms:W3CDTF">2025-10-15T13:30:00Z</dcterms:modified>
</cp:coreProperties>
</file>