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228" w14:textId="23FB24AE" w:rsidR="00421E07" w:rsidRPr="00421E07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La nouvelle génération d’aménagement intérieur </w:t>
      </w:r>
      <w:proofErr w:type="gramStart"/>
      <w:r>
        <w:rPr>
          <w:rFonts w:cs="Arial"/>
          <w:b/>
          <w:color w:val="auto"/>
          <w:szCs w:val="24"/>
        </w:rPr>
        <w:t>d’armoires :</w:t>
      </w:r>
      <w:proofErr w:type="gramEnd"/>
      <w:r>
        <w:rPr>
          <w:rFonts w:cs="Arial"/>
          <w:b/>
          <w:color w:val="auto"/>
          <w:szCs w:val="24"/>
        </w:rPr>
        <w:t xml:space="preserve"> </w:t>
      </w:r>
      <w:r>
        <w:rPr>
          <w:rFonts w:cs="Arial"/>
          <w:b/>
          <w:color w:val="auto"/>
          <w:szCs w:val="24"/>
        </w:rPr>
        <w:br/>
        <w:t>plus d’espace, plus d’ordre et plus de flexibilité</w:t>
      </w:r>
    </w:p>
    <w:p w14:paraId="55C7E18B" w14:textId="77777777" w:rsid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9E357E" w14:textId="5E16F430" w:rsidR="00421E0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Hettich concentre toutes ses forces et propose des solutions sophistiquées en matière d’aménagement intérieur d’armoires. L’ordre, le confort et la personnalisation - le désir de disposer d'un espace de rangement facilement utilisable est de plus en plus fort. L’entreprise familiale réagit à cette tendance et présente une nouvelle gamme de produits redéfinis pour le rangement des provisions, des ustensiles de cuisine, des vêtements et d’autres objets pour des applications multifonctionnelles – inspirée de la vie réelle, sophistiquée jusque dans les détails.</w:t>
      </w:r>
    </w:p>
    <w:p w14:paraId="3FCC38B3" w14:textId="77777777" w:rsidR="00421E07" w:rsidRPr="009B3F52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76D5A7" w14:textId="2DFED76F" w:rsidR="00421E07" w:rsidRPr="00FB0D6B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r w:rsidRPr="00FB0D6B">
        <w:rPr>
          <w:rFonts w:cs="Arial"/>
          <w:bCs/>
          <w:color w:val="auto"/>
          <w:szCs w:val="24"/>
          <w:lang w:val="en-GB"/>
        </w:rPr>
        <w:t xml:space="preserve">Avec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cette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offre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repositionnée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, Hettich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souligne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sa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compétence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tant que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fournisseur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systèmes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montre comment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l’aménagement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intérieur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intelligent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fonctionne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nos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jours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. Que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soit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pour des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meubles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hauts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, des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meubles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bas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ou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des armoires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d’angle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,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systèmes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ferrures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 Hettich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optimisent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espaces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rangement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derrière la façade du meuble et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équipent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fonctions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utiles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>. Quatre 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lignes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design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garantissent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liberté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maximale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gramStart"/>
      <w:r w:rsidRPr="00FB0D6B">
        <w:rPr>
          <w:rFonts w:cs="Arial"/>
          <w:bCs/>
          <w:color w:val="auto"/>
          <w:szCs w:val="24"/>
          <w:lang w:val="en-GB"/>
        </w:rPr>
        <w:t>conception :</w:t>
      </w:r>
      <w:proofErr w:type="gramEnd"/>
      <w:r w:rsidRPr="00FB0D6B">
        <w:rPr>
          <w:rFonts w:cs="Arial"/>
          <w:bCs/>
          <w:color w:val="auto"/>
          <w:szCs w:val="24"/>
          <w:lang w:val="en-GB"/>
        </w:rPr>
        <w:t xml:space="preserve"> les corbeilles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acier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fil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rond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chromé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,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tablettes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acier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époxy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avec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surface fermée,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tablettes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avec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tringle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fil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rond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chromé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ou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avec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tringle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fil plat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moderne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. Il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y 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 pour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tous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goûts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pour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toutes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les exigences. Le design, la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technologie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la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fonctionnalité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se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complètent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ici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à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merveille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>.</w:t>
      </w:r>
    </w:p>
    <w:p w14:paraId="475541BD" w14:textId="77777777" w:rsidR="00421E07" w:rsidRPr="00FB0D6B" w:rsidRDefault="00421E0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</w:p>
    <w:p w14:paraId="2A3B4829" w14:textId="77777777" w:rsidR="00FB0D6B" w:rsidRDefault="00FB0D6B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</w:p>
    <w:p w14:paraId="63EA74D5" w14:textId="77777777" w:rsidR="00FB0D6B" w:rsidRDefault="00FB0D6B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</w:p>
    <w:p w14:paraId="30EDBAB5" w14:textId="3F4C0F0E" w:rsidR="00FE0FF7" w:rsidRPr="00FB0D6B" w:rsidRDefault="00FE0FF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  <w:r w:rsidRPr="00FB0D6B">
        <w:rPr>
          <w:rFonts w:cs="Arial"/>
          <w:b/>
          <w:color w:val="auto"/>
          <w:szCs w:val="24"/>
          <w:lang w:val="en-GB"/>
        </w:rPr>
        <w:lastRenderedPageBreak/>
        <w:t xml:space="preserve">Un </w:t>
      </w:r>
      <w:proofErr w:type="spellStart"/>
      <w:r w:rsidRPr="00FB0D6B">
        <w:rPr>
          <w:rFonts w:cs="Arial"/>
          <w:b/>
          <w:color w:val="auto"/>
          <w:szCs w:val="24"/>
          <w:lang w:val="en-GB"/>
        </w:rPr>
        <w:t>système</w:t>
      </w:r>
      <w:proofErr w:type="spellEnd"/>
      <w:r w:rsidRPr="00FB0D6B">
        <w:rPr>
          <w:rFonts w:cs="Arial"/>
          <w:b/>
          <w:color w:val="auto"/>
          <w:szCs w:val="24"/>
          <w:lang w:val="en-GB"/>
        </w:rPr>
        <w:t xml:space="preserve"> – de </w:t>
      </w:r>
      <w:proofErr w:type="spellStart"/>
      <w:r w:rsidRPr="00FB0D6B">
        <w:rPr>
          <w:rFonts w:cs="Arial"/>
          <w:b/>
          <w:color w:val="auto"/>
          <w:szCs w:val="24"/>
          <w:lang w:val="en-GB"/>
        </w:rPr>
        <w:t>nombreuses</w:t>
      </w:r>
      <w:proofErr w:type="spellEnd"/>
      <w:r w:rsidRPr="00FB0D6B">
        <w:rPr>
          <w:rFonts w:cs="Arial"/>
          <w:b/>
          <w:color w:val="auto"/>
          <w:szCs w:val="24"/>
          <w:lang w:val="en-GB"/>
        </w:rPr>
        <w:t xml:space="preserve"> options</w:t>
      </w:r>
    </w:p>
    <w:p w14:paraId="4ADCB600" w14:textId="4AC1C3F0" w:rsidR="00421E07" w:rsidRPr="00FB0D6B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r w:rsidRPr="00FB0D6B">
        <w:rPr>
          <w:rFonts w:cs="Arial"/>
          <w:bCs/>
          <w:color w:val="auto"/>
          <w:szCs w:val="24"/>
          <w:lang w:val="en-GB"/>
        </w:rPr>
        <w:t xml:space="preserve">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aménagements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intérieurs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 Hettich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garantissent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un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espace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rangement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maximal au look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stylé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se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distinguent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par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ergonomie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convaincante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. Le concept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continu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peut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être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utilisé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manière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personnalisée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variable, du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tiroir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à casseroles à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l’anglaise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classique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à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l'aménagement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bien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pensé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des armoires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hautes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des armoires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d'angle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. Le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spécialiste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ferrures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propose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nombreuses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combinaisons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possibles, des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éléments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aux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coloris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harmonisés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anthracite qui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reprennent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le design des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autres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produits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 Hettich et qui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offrent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vue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d’ensemble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harmonieuse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. </w:t>
      </w:r>
    </w:p>
    <w:p w14:paraId="07EEA0A6" w14:textId="77777777" w:rsidR="00421E07" w:rsidRPr="00FB0D6B" w:rsidRDefault="00421E0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</w:p>
    <w:p w14:paraId="46FB79C6" w14:textId="77777777" w:rsidR="00FE0FF7" w:rsidRPr="00FB0D6B" w:rsidRDefault="00FE0FF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  <w:proofErr w:type="spellStart"/>
      <w:r w:rsidRPr="00FB0D6B">
        <w:rPr>
          <w:rFonts w:cs="Arial"/>
          <w:b/>
          <w:color w:val="auto"/>
          <w:szCs w:val="24"/>
          <w:lang w:val="en-GB"/>
        </w:rPr>
        <w:t>L’inspiration</w:t>
      </w:r>
      <w:proofErr w:type="spellEnd"/>
      <w:r w:rsidRPr="00FB0D6B">
        <w:rPr>
          <w:rFonts w:cs="Arial"/>
          <w:b/>
          <w:color w:val="auto"/>
          <w:szCs w:val="24"/>
          <w:lang w:val="en-GB"/>
        </w:rPr>
        <w:t xml:space="preserve"> pour </w:t>
      </w:r>
      <w:proofErr w:type="spellStart"/>
      <w:r w:rsidRPr="00FB0D6B">
        <w:rPr>
          <w:rFonts w:cs="Arial"/>
          <w:b/>
          <w:color w:val="auto"/>
          <w:szCs w:val="24"/>
          <w:lang w:val="en-GB"/>
        </w:rPr>
        <w:t>chaque</w:t>
      </w:r>
      <w:proofErr w:type="spellEnd"/>
      <w:r w:rsidRPr="00FB0D6B">
        <w:rPr>
          <w:rFonts w:cs="Arial"/>
          <w:b/>
          <w:color w:val="auto"/>
          <w:szCs w:val="24"/>
          <w:lang w:val="en-GB"/>
        </w:rPr>
        <w:t xml:space="preserve"> application</w:t>
      </w:r>
    </w:p>
    <w:p w14:paraId="301BF343" w14:textId="2E8E7F81" w:rsidR="00421E07" w:rsidRPr="00FB0D6B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r w:rsidRPr="00FB0D6B">
        <w:rPr>
          <w:rFonts w:cs="Arial"/>
          <w:bCs/>
          <w:color w:val="auto"/>
          <w:szCs w:val="24"/>
          <w:lang w:val="en-GB"/>
        </w:rPr>
        <w:t xml:space="preserve">Que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soit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pour la cuisine, la salle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bain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l’arrière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-cuisine, le dressing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ou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le bureau à domicile, Hettich montre comment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meubles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peuvent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fasciner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par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leur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intérieur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. La nouvelle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gamme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produits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soutient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le commerce,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l’industrie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et les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architectes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> 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leur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proposant des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composants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modulaires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aide à la planification numérique et un large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éventail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de matériel de promotion marketing.</w:t>
      </w:r>
    </w:p>
    <w:p w14:paraId="1DD7CD2B" w14:textId="77777777" w:rsidR="00FE0FF7" w:rsidRPr="00FB0D6B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</w:p>
    <w:p w14:paraId="4E93FF65" w14:textId="63955CC9" w:rsidR="00FE0FF7" w:rsidRPr="00FB0D6B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r w:rsidRPr="00FB0D6B">
        <w:rPr>
          <w:rFonts w:cs="Arial"/>
          <w:bCs/>
          <w:color w:val="auto"/>
          <w:szCs w:val="24"/>
          <w:lang w:val="en-GB"/>
        </w:rPr>
        <w:t xml:space="preserve">Pour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savoir plus, </w:t>
      </w:r>
      <w:proofErr w:type="spellStart"/>
      <w:r w:rsidRPr="00FB0D6B">
        <w:rPr>
          <w:rFonts w:cs="Arial"/>
          <w:bCs/>
          <w:color w:val="auto"/>
          <w:szCs w:val="24"/>
          <w:lang w:val="en-GB"/>
        </w:rPr>
        <w:t>cliquer</w:t>
      </w:r>
      <w:proofErr w:type="spellEnd"/>
      <w:r w:rsidRPr="00FB0D6B">
        <w:rPr>
          <w:rFonts w:cs="Arial"/>
          <w:bCs/>
          <w:color w:val="auto"/>
          <w:szCs w:val="24"/>
          <w:lang w:val="en-GB"/>
        </w:rPr>
        <w:t xml:space="preserve"> sur </w:t>
      </w:r>
      <w:r>
        <w:fldChar w:fldCharType="begin"/>
      </w:r>
      <w:r w:rsidRPr="00C671E1">
        <w:rPr>
          <w:lang w:val="en-GB"/>
        </w:rPr>
        <w:instrText>HYPERLINK "https://www.hettich.com/short/nz8lkcr"</w:instrText>
      </w:r>
      <w:r>
        <w:fldChar w:fldCharType="separate"/>
      </w:r>
      <w:r w:rsidRPr="00FB0D6B">
        <w:rPr>
          <w:rStyle w:val="Hyperlink"/>
          <w:rFonts w:cs="Arial"/>
          <w:bCs/>
          <w:szCs w:val="24"/>
          <w:lang w:val="en-GB"/>
        </w:rPr>
        <w:t>https://www.hettich.com/short/nz8lkcr</w:t>
      </w:r>
      <w:r>
        <w:fldChar w:fldCharType="end"/>
      </w:r>
    </w:p>
    <w:p w14:paraId="6F2E42B8" w14:textId="77777777" w:rsidR="00421E07" w:rsidRPr="00FB0D6B" w:rsidRDefault="00421E07" w:rsidP="00421E07">
      <w:pPr>
        <w:spacing w:line="360" w:lineRule="auto"/>
        <w:rPr>
          <w:rFonts w:cs="Arial"/>
          <w:bCs/>
          <w:color w:val="FF0000"/>
          <w:szCs w:val="24"/>
          <w:lang w:val="en-GB"/>
        </w:rPr>
      </w:pPr>
    </w:p>
    <w:p w14:paraId="2B39C3B2" w14:textId="77777777" w:rsidR="00421E07" w:rsidRPr="00421E07" w:rsidRDefault="00421E07" w:rsidP="00421E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8" w:history="1"/>
      <w:proofErr w:type="spellStart"/>
      <w:r>
        <w:t>Les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disponibles en téléchargement dans le menu « Presse » sur www.hettich.com</w:t>
      </w:r>
      <w:r>
        <w:rPr>
          <w:rFonts w:cs="Arial"/>
          <w:color w:val="auto"/>
          <w:szCs w:val="24"/>
        </w:rPr>
        <w:t>:</w:t>
      </w:r>
    </w:p>
    <w:p w14:paraId="3B501946" w14:textId="753536BA" w:rsidR="00421E07" w:rsidRP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0AE6544C" w14:textId="2E719549" w:rsidR="00421E07" w:rsidRPr="00421E07" w:rsidRDefault="00FE0FF7" w:rsidP="00421E07">
      <w:pPr>
        <w:rPr>
          <w:rFonts w:cs="Arial"/>
          <w:bCs/>
          <w:color w:val="auto"/>
          <w:sz w:val="22"/>
          <w:szCs w:val="22"/>
          <w:lang w:val="sv-SE"/>
        </w:rPr>
      </w:pPr>
      <w:r w:rsidRPr="001213A5">
        <w:rPr>
          <w:rFonts w:cs="Arial"/>
          <w:noProof/>
        </w:rPr>
        <w:lastRenderedPageBreak/>
        <w:drawing>
          <wp:inline distT="0" distB="0" distL="0" distR="0" wp14:anchorId="1E65BCAE" wp14:editId="512819EE">
            <wp:extent cx="1584000" cy="1139000"/>
            <wp:effectExtent l="0" t="0" r="0" b="4445"/>
            <wp:docPr id="7698347" name="Grafik 1" descr="Ein Bild, das Im Haus, Möbel, Regale, Schran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347" name="Grafik 1" descr="Ein Bild, das Im Haus, Möbel, Regale, Schrank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176A" w14:textId="4298EA16" w:rsidR="00421E07" w:rsidRPr="00FB0D6B" w:rsidRDefault="009B3F52" w:rsidP="00421E07">
      <w:pPr>
        <w:rPr>
          <w:rFonts w:cs="Arial"/>
          <w:b/>
          <w:color w:val="auto"/>
          <w:sz w:val="22"/>
          <w:szCs w:val="22"/>
          <w:lang w:val="sv-SE"/>
        </w:rPr>
      </w:pPr>
      <w:r w:rsidRPr="00FB0D6B">
        <w:rPr>
          <w:rFonts w:cs="Arial"/>
          <w:b/>
          <w:color w:val="auto"/>
          <w:sz w:val="22"/>
          <w:szCs w:val="22"/>
          <w:lang w:val="sv-SE"/>
        </w:rPr>
        <w:t>302025_a</w:t>
      </w:r>
    </w:p>
    <w:p w14:paraId="4B252309" w14:textId="289839C8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FB0D6B">
        <w:rPr>
          <w:rFonts w:cs="Arial"/>
          <w:bCs/>
          <w:color w:val="auto"/>
          <w:sz w:val="22"/>
          <w:szCs w:val="22"/>
          <w:lang w:val="sv-SE"/>
        </w:rPr>
        <w:t xml:space="preserve">Le plateau pivotant « Iseo » de Hettich garantit un rangement optimal et un accès ergonomique, même pour toutes les provisions qui se trouvent au fond du meuble. </w:t>
      </w:r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La tringle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fil plat dans le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coloris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élégant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anthracite (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ligne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design 400)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souligne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les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lignes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épurées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proofErr w:type="spellStart"/>
      <w:proofErr w:type="gramStart"/>
      <w:r>
        <w:rPr>
          <w:rFonts w:cs="Arial"/>
          <w:bCs/>
          <w:color w:val="auto"/>
          <w:sz w:val="22"/>
          <w:szCs w:val="22"/>
        </w:rPr>
        <w:t>Photo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:</w:t>
      </w:r>
      <w:proofErr w:type="gramEnd"/>
      <w:r>
        <w:rPr>
          <w:rFonts w:cs="Arial"/>
          <w:bCs/>
          <w:color w:val="auto"/>
          <w:sz w:val="22"/>
          <w:szCs w:val="22"/>
        </w:rPr>
        <w:t xml:space="preserve"> Hettich</w:t>
      </w:r>
    </w:p>
    <w:p w14:paraId="2269F633" w14:textId="77777777" w:rsidR="00776E7A" w:rsidRPr="00421E07" w:rsidRDefault="00776E7A" w:rsidP="00421E07">
      <w:pPr>
        <w:rPr>
          <w:rFonts w:cs="Arial"/>
          <w:bCs/>
          <w:color w:val="auto"/>
          <w:sz w:val="22"/>
          <w:szCs w:val="22"/>
        </w:rPr>
      </w:pPr>
    </w:p>
    <w:p w14:paraId="6ABE000F" w14:textId="5FD0FAF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6F380495" wp14:editId="448AD1AA">
            <wp:extent cx="1584000" cy="1138997"/>
            <wp:effectExtent l="0" t="0" r="0" b="4445"/>
            <wp:docPr id="473258341" name="Grafik 1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58341" name="Grafik 1" descr="Ein Bild, das Im Haus, Wand, Inneneinrichtung, Möbel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4E56" w14:textId="2CAB1A0F" w:rsidR="00421E07" w:rsidRPr="00FB0D6B" w:rsidRDefault="009B3F52" w:rsidP="00421E07">
      <w:pPr>
        <w:rPr>
          <w:rFonts w:cs="Arial"/>
          <w:b/>
          <w:color w:val="auto"/>
          <w:sz w:val="22"/>
          <w:szCs w:val="22"/>
          <w:lang w:val="en-GB"/>
        </w:rPr>
      </w:pPr>
      <w:r w:rsidRPr="00FB0D6B">
        <w:rPr>
          <w:rFonts w:cs="Arial"/>
          <w:b/>
          <w:color w:val="auto"/>
          <w:sz w:val="22"/>
          <w:szCs w:val="22"/>
          <w:lang w:val="en-GB"/>
        </w:rPr>
        <w:t>302025_b</w:t>
      </w:r>
    </w:p>
    <w:p w14:paraId="48433AD3" w14:textId="5616B853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Un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espace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rangement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compact,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intelligemment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proofErr w:type="gramStart"/>
      <w:r w:rsidRPr="00FB0D6B">
        <w:rPr>
          <w:rFonts w:cs="Arial"/>
          <w:bCs/>
          <w:color w:val="auto"/>
          <w:sz w:val="22"/>
          <w:szCs w:val="22"/>
          <w:lang w:val="en-GB"/>
        </w:rPr>
        <w:t>organisé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:</w:t>
      </w:r>
      <w:proofErr w:type="gram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l’élément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coulissant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d’armoire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haute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pivotant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« Olona »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amène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les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ustensiles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cuisine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vers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l’avant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du meuble et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vous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permet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les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avoir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facilement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sous la main. </w:t>
      </w:r>
      <w:proofErr w:type="spellStart"/>
      <w:proofErr w:type="gramStart"/>
      <w:r>
        <w:rPr>
          <w:rFonts w:cs="Arial"/>
          <w:bCs/>
          <w:color w:val="auto"/>
          <w:sz w:val="22"/>
          <w:szCs w:val="22"/>
        </w:rPr>
        <w:t>Photo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:</w:t>
      </w:r>
      <w:proofErr w:type="gramEnd"/>
      <w:r>
        <w:rPr>
          <w:rFonts w:cs="Arial"/>
          <w:bCs/>
          <w:color w:val="auto"/>
          <w:sz w:val="22"/>
          <w:szCs w:val="22"/>
        </w:rPr>
        <w:t xml:space="preserve"> Hettich</w:t>
      </w:r>
    </w:p>
    <w:p w14:paraId="5634798E" w14:textId="77777777" w:rsidR="00421E07" w:rsidRDefault="00421E07" w:rsidP="00421E07">
      <w:pPr>
        <w:rPr>
          <w:rFonts w:cs="Arial"/>
          <w:bCs/>
          <w:color w:val="auto"/>
          <w:sz w:val="22"/>
          <w:szCs w:val="22"/>
        </w:rPr>
      </w:pPr>
    </w:p>
    <w:p w14:paraId="4116287D" w14:textId="73A8E46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314E757E" wp14:editId="493E551B">
            <wp:extent cx="1584000" cy="1142819"/>
            <wp:effectExtent l="0" t="0" r="0" b="635"/>
            <wp:docPr id="167201237" name="Grafik 1" descr="Ein Bild, das Küchengerät, Im Haus, Haushaltsgerät, Waschb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237" name="Grafik 1" descr="Ein Bild, das Küchengerät, Im Haus, Haushaltsgerät, Waschbecken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8836" w14:textId="5078A969" w:rsidR="00421E07" w:rsidRPr="00FB0D6B" w:rsidRDefault="009B3F52" w:rsidP="00421E07">
      <w:pPr>
        <w:rPr>
          <w:rFonts w:cs="Arial"/>
          <w:bCs/>
          <w:color w:val="auto"/>
          <w:sz w:val="22"/>
          <w:szCs w:val="22"/>
          <w:lang w:val="en-GB"/>
        </w:rPr>
      </w:pPr>
      <w:r w:rsidRPr="00FB0D6B">
        <w:rPr>
          <w:rFonts w:cs="Arial"/>
          <w:b/>
          <w:color w:val="auto"/>
          <w:sz w:val="22"/>
          <w:szCs w:val="22"/>
          <w:lang w:val="en-GB"/>
        </w:rPr>
        <w:t>302025_c</w:t>
      </w:r>
    </w:p>
    <w:p w14:paraId="3F2CD484" w14:textId="72DB647D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Une utilisation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optimale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l’espace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et un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accès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facile,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même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dans le meuble </w:t>
      </w:r>
      <w:proofErr w:type="gramStart"/>
      <w:r w:rsidRPr="00FB0D6B">
        <w:rPr>
          <w:rFonts w:cs="Arial"/>
          <w:bCs/>
          <w:color w:val="auto"/>
          <w:sz w:val="22"/>
          <w:szCs w:val="22"/>
          <w:lang w:val="en-GB"/>
        </w:rPr>
        <w:t>bas :</w:t>
      </w:r>
      <w:proofErr w:type="gram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l’élément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coulissant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à sortie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totale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meuble bas «°Naro°»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garantit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un meuble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toujours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bien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rangé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même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pour les petits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appareils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électroménagers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lourds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. Des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côtés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fermés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et un tapis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antidérapant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intégré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conservent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tout bien à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sa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place. </w:t>
      </w:r>
      <w:proofErr w:type="spellStart"/>
      <w:proofErr w:type="gramStart"/>
      <w:r>
        <w:rPr>
          <w:rFonts w:cs="Arial"/>
          <w:bCs/>
          <w:color w:val="auto"/>
          <w:sz w:val="22"/>
          <w:szCs w:val="22"/>
        </w:rPr>
        <w:t>Photo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:</w:t>
      </w:r>
      <w:proofErr w:type="gramEnd"/>
      <w:r>
        <w:rPr>
          <w:rFonts w:cs="Arial"/>
          <w:bCs/>
          <w:color w:val="auto"/>
          <w:sz w:val="22"/>
          <w:szCs w:val="22"/>
        </w:rPr>
        <w:t xml:space="preserve"> Hettich</w:t>
      </w:r>
    </w:p>
    <w:p w14:paraId="1A1C8CAE" w14:textId="77777777" w:rsidR="006B29B7" w:rsidRDefault="006B29B7" w:rsidP="00421E07">
      <w:pPr>
        <w:rPr>
          <w:rFonts w:cs="Arial"/>
          <w:bCs/>
          <w:color w:val="auto"/>
          <w:sz w:val="22"/>
          <w:szCs w:val="22"/>
        </w:rPr>
      </w:pPr>
    </w:p>
    <w:p w14:paraId="0E655E09" w14:textId="6B895EB1" w:rsidR="00FE0FF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1002A5D6" wp14:editId="506A0024">
            <wp:extent cx="1584000" cy="1140480"/>
            <wp:effectExtent l="0" t="0" r="0" b="2540"/>
            <wp:docPr id="1371084187" name="Grafik 1" descr="Ein Bild, das Im Haus, Möbel, Waschbecke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84187" name="Grafik 1" descr="Ein Bild, das Im Haus, Möbel, Waschbecken, Wand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CC06" w14:textId="68DC9870" w:rsidR="00421E07" w:rsidRPr="00FB0D6B" w:rsidRDefault="009B3F52" w:rsidP="00421E07">
      <w:pPr>
        <w:rPr>
          <w:rFonts w:cs="Arial"/>
          <w:b/>
          <w:color w:val="auto"/>
          <w:sz w:val="22"/>
          <w:szCs w:val="22"/>
          <w:lang w:val="en-GB"/>
        </w:rPr>
      </w:pPr>
      <w:r w:rsidRPr="00FB0D6B">
        <w:rPr>
          <w:rFonts w:cs="Arial"/>
          <w:b/>
          <w:color w:val="auto"/>
          <w:sz w:val="22"/>
          <w:szCs w:val="22"/>
          <w:lang w:val="en-GB"/>
        </w:rPr>
        <w:t>302025_d</w:t>
      </w:r>
    </w:p>
    <w:p w14:paraId="4825E2C2" w14:textId="213BE936" w:rsidR="00421E07" w:rsidRPr="00FB0D6B" w:rsidRDefault="00FE0FF7" w:rsidP="00421E07">
      <w:pPr>
        <w:rPr>
          <w:rFonts w:cs="Arial"/>
          <w:bCs/>
          <w:color w:val="auto"/>
          <w:sz w:val="22"/>
          <w:szCs w:val="22"/>
          <w:lang w:val="en-GB"/>
        </w:rPr>
      </w:pP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lastRenderedPageBreak/>
        <w:t>L’utilisation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efficace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moindres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gramStart"/>
      <w:r w:rsidRPr="00FB0D6B">
        <w:rPr>
          <w:rFonts w:cs="Arial"/>
          <w:bCs/>
          <w:color w:val="auto"/>
          <w:sz w:val="22"/>
          <w:szCs w:val="22"/>
          <w:lang w:val="en-GB"/>
        </w:rPr>
        <w:t>recoins :</w:t>
      </w:r>
      <w:proofErr w:type="gram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le plateau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pivotant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« 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Salso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 » pour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l’armoire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d’angle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transforme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même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le dernier recoin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un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espace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rangement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facilement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accessible. Les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tablettes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en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acier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époxy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(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ligne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design 200)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permettent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une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capacité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charge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maximale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de 36 kg par </w:t>
      </w:r>
      <w:proofErr w:type="spellStart"/>
      <w:r w:rsidRPr="00FB0D6B">
        <w:rPr>
          <w:rFonts w:cs="Arial"/>
          <w:bCs/>
          <w:color w:val="auto"/>
          <w:sz w:val="22"/>
          <w:szCs w:val="22"/>
          <w:lang w:val="en-GB"/>
        </w:rPr>
        <w:t>coulissant</w:t>
      </w:r>
      <w:proofErr w:type="spell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proofErr w:type="gramStart"/>
      <w:r w:rsidRPr="00FB0D6B">
        <w:rPr>
          <w:rFonts w:cs="Arial"/>
          <w:bCs/>
          <w:color w:val="auto"/>
          <w:sz w:val="22"/>
          <w:szCs w:val="22"/>
          <w:lang w:val="en-GB"/>
        </w:rPr>
        <w:t>Photo :</w:t>
      </w:r>
      <w:proofErr w:type="gramEnd"/>
      <w:r w:rsidRPr="00FB0D6B">
        <w:rPr>
          <w:rFonts w:cs="Arial"/>
          <w:bCs/>
          <w:color w:val="auto"/>
          <w:sz w:val="22"/>
          <w:szCs w:val="22"/>
          <w:lang w:val="en-GB"/>
        </w:rPr>
        <w:t xml:space="preserve"> Hettich</w:t>
      </w:r>
    </w:p>
    <w:p w14:paraId="3A6FBF5E" w14:textId="77777777" w:rsidR="00682C48" w:rsidRPr="00FB0D6B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3FE477" w14:textId="77777777" w:rsidR="00571996" w:rsidRPr="00FB0D6B" w:rsidRDefault="00571996" w:rsidP="005A3C05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  <w:lang w:val="en-GB"/>
        </w:rPr>
      </w:pPr>
      <w:r w:rsidRPr="00FB0D6B">
        <w:rPr>
          <w:rFonts w:cs="Arial"/>
          <w:bCs/>
          <w:sz w:val="18"/>
          <w:szCs w:val="18"/>
          <w:u w:val="single"/>
          <w:lang w:val="en-GB"/>
        </w:rPr>
        <w:t xml:space="preserve">À </w:t>
      </w:r>
      <w:proofErr w:type="spellStart"/>
      <w:r w:rsidRPr="00FB0D6B">
        <w:rPr>
          <w:rFonts w:cs="Arial"/>
          <w:bCs/>
          <w:sz w:val="18"/>
          <w:szCs w:val="18"/>
          <w:u w:val="single"/>
          <w:lang w:val="en-GB"/>
        </w:rPr>
        <w:t>propos</w:t>
      </w:r>
      <w:proofErr w:type="spellEnd"/>
      <w:r w:rsidRPr="00FB0D6B">
        <w:rPr>
          <w:rFonts w:cs="Arial"/>
          <w:bCs/>
          <w:sz w:val="18"/>
          <w:szCs w:val="18"/>
          <w:u w:val="single"/>
          <w:lang w:val="en-GB"/>
        </w:rPr>
        <w:t xml:space="preserve"> de Hettich</w:t>
      </w:r>
    </w:p>
    <w:p w14:paraId="29D80DC3" w14:textId="118CCE9B" w:rsidR="00571996" w:rsidRPr="00C671E1" w:rsidRDefault="00F24EF4" w:rsidP="005A3C05">
      <w:pPr>
        <w:suppressAutoHyphens/>
        <w:rPr>
          <w:rFonts w:cs="Arial"/>
          <w:bCs/>
          <w:color w:val="auto"/>
          <w:sz w:val="18"/>
          <w:szCs w:val="18"/>
        </w:rPr>
      </w:pPr>
      <w:proofErr w:type="spellStart"/>
      <w:r w:rsidRPr="00C671E1">
        <w:rPr>
          <w:sz w:val="18"/>
          <w:szCs w:val="18"/>
          <w:lang w:val="en-GB"/>
        </w:rPr>
        <w:t>Fondée</w:t>
      </w:r>
      <w:proofErr w:type="spellEnd"/>
      <w:r w:rsidRPr="00C671E1">
        <w:rPr>
          <w:sz w:val="18"/>
          <w:szCs w:val="18"/>
          <w:lang w:val="en-GB"/>
        </w:rPr>
        <w:t xml:space="preserve"> </w:t>
      </w:r>
      <w:proofErr w:type="spellStart"/>
      <w:r w:rsidRPr="00C671E1">
        <w:rPr>
          <w:sz w:val="18"/>
          <w:szCs w:val="18"/>
          <w:lang w:val="en-GB"/>
        </w:rPr>
        <w:t>en</w:t>
      </w:r>
      <w:proofErr w:type="spellEnd"/>
      <w:r w:rsidRPr="00C671E1">
        <w:rPr>
          <w:sz w:val="18"/>
          <w:szCs w:val="18"/>
          <w:lang w:val="en-GB"/>
        </w:rPr>
        <w:t xml:space="preserve"> 1888, Hettich </w:t>
      </w:r>
      <w:proofErr w:type="spellStart"/>
      <w:r w:rsidRPr="00C671E1">
        <w:rPr>
          <w:sz w:val="18"/>
          <w:szCs w:val="18"/>
          <w:lang w:val="en-GB"/>
        </w:rPr>
        <w:t>est</w:t>
      </w:r>
      <w:proofErr w:type="spellEnd"/>
      <w:r w:rsidRPr="00C671E1">
        <w:rPr>
          <w:sz w:val="18"/>
          <w:szCs w:val="18"/>
          <w:lang w:val="en-GB"/>
        </w:rPr>
        <w:t xml:space="preserve"> </w:t>
      </w:r>
      <w:proofErr w:type="spellStart"/>
      <w:r w:rsidRPr="00C671E1">
        <w:rPr>
          <w:sz w:val="18"/>
          <w:szCs w:val="18"/>
          <w:lang w:val="en-GB"/>
        </w:rPr>
        <w:t>aujourd’hui</w:t>
      </w:r>
      <w:proofErr w:type="spellEnd"/>
      <w:r w:rsidRPr="00C671E1">
        <w:rPr>
          <w:sz w:val="18"/>
          <w:szCs w:val="18"/>
          <w:lang w:val="en-GB"/>
        </w:rPr>
        <w:t xml:space="preserve"> </w:t>
      </w:r>
      <w:proofErr w:type="spellStart"/>
      <w:r w:rsidRPr="00C671E1">
        <w:rPr>
          <w:sz w:val="18"/>
          <w:szCs w:val="18"/>
          <w:lang w:val="en-GB"/>
        </w:rPr>
        <w:t>l’un</w:t>
      </w:r>
      <w:proofErr w:type="spellEnd"/>
      <w:r w:rsidRPr="00C671E1">
        <w:rPr>
          <w:sz w:val="18"/>
          <w:szCs w:val="18"/>
          <w:lang w:val="en-GB"/>
        </w:rPr>
        <w:t xml:space="preserve"> des plus grands et des plus </w:t>
      </w:r>
      <w:proofErr w:type="spellStart"/>
      <w:r w:rsidRPr="00C671E1">
        <w:rPr>
          <w:sz w:val="18"/>
          <w:szCs w:val="18"/>
          <w:lang w:val="en-GB"/>
        </w:rPr>
        <w:t>prospères</w:t>
      </w:r>
      <w:proofErr w:type="spellEnd"/>
      <w:r w:rsidRPr="00C671E1">
        <w:rPr>
          <w:sz w:val="18"/>
          <w:szCs w:val="18"/>
          <w:lang w:val="en-GB"/>
        </w:rPr>
        <w:t xml:space="preserve"> fabricants de </w:t>
      </w:r>
      <w:proofErr w:type="spellStart"/>
      <w:r w:rsidRPr="00C671E1">
        <w:rPr>
          <w:sz w:val="18"/>
          <w:szCs w:val="18"/>
          <w:lang w:val="en-GB"/>
        </w:rPr>
        <w:t>ferrures</w:t>
      </w:r>
      <w:proofErr w:type="spellEnd"/>
      <w:r w:rsidRPr="00C671E1">
        <w:rPr>
          <w:sz w:val="18"/>
          <w:szCs w:val="18"/>
          <w:lang w:val="en-GB"/>
        </w:rPr>
        <w:t xml:space="preserve"> pour </w:t>
      </w:r>
      <w:proofErr w:type="spellStart"/>
      <w:r w:rsidRPr="00C671E1">
        <w:rPr>
          <w:sz w:val="18"/>
          <w:szCs w:val="18"/>
          <w:lang w:val="en-GB"/>
        </w:rPr>
        <w:t>meubles</w:t>
      </w:r>
      <w:proofErr w:type="spellEnd"/>
      <w:r w:rsidRPr="00C671E1">
        <w:rPr>
          <w:sz w:val="18"/>
          <w:szCs w:val="18"/>
          <w:lang w:val="en-GB"/>
        </w:rPr>
        <w:t xml:space="preserve"> sur la </w:t>
      </w:r>
      <w:proofErr w:type="spellStart"/>
      <w:r w:rsidRPr="00C671E1">
        <w:rPr>
          <w:sz w:val="18"/>
          <w:szCs w:val="18"/>
          <w:lang w:val="en-GB"/>
        </w:rPr>
        <w:t>scène</w:t>
      </w:r>
      <w:proofErr w:type="spellEnd"/>
      <w:r w:rsidRPr="00C671E1">
        <w:rPr>
          <w:sz w:val="18"/>
          <w:szCs w:val="18"/>
          <w:lang w:val="en-GB"/>
        </w:rPr>
        <w:t xml:space="preserve"> </w:t>
      </w:r>
      <w:proofErr w:type="spellStart"/>
      <w:r w:rsidRPr="00C671E1">
        <w:rPr>
          <w:sz w:val="18"/>
          <w:szCs w:val="18"/>
          <w:lang w:val="en-GB"/>
        </w:rPr>
        <w:t>internationale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. </w:t>
      </w:r>
      <w:proofErr w:type="spellStart"/>
      <w:r w:rsidRPr="00C671E1">
        <w:rPr>
          <w:rFonts w:cs="Arial"/>
          <w:bCs/>
          <w:sz w:val="18"/>
          <w:szCs w:val="18"/>
        </w:rPr>
        <w:t>Cette</w:t>
      </w:r>
      <w:proofErr w:type="spellEnd"/>
      <w:r w:rsidRPr="00C671E1">
        <w:rPr>
          <w:rFonts w:cs="Arial"/>
          <w:bCs/>
          <w:sz w:val="18"/>
          <w:szCs w:val="18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</w:rPr>
        <w:t>entreprise</w:t>
      </w:r>
      <w:proofErr w:type="spellEnd"/>
      <w:r w:rsidRPr="00C671E1">
        <w:rPr>
          <w:rFonts w:cs="Arial"/>
          <w:bCs/>
          <w:sz w:val="18"/>
          <w:szCs w:val="18"/>
        </w:rPr>
        <w:t xml:space="preserve"> familiale </w:t>
      </w:r>
      <w:proofErr w:type="spellStart"/>
      <w:r w:rsidRPr="00C671E1">
        <w:rPr>
          <w:rFonts w:cs="Arial"/>
          <w:bCs/>
          <w:sz w:val="18"/>
          <w:szCs w:val="18"/>
        </w:rPr>
        <w:t>est</w:t>
      </w:r>
      <w:proofErr w:type="spellEnd"/>
      <w:r w:rsidRPr="00C671E1">
        <w:rPr>
          <w:rFonts w:cs="Arial"/>
          <w:bCs/>
          <w:sz w:val="18"/>
          <w:szCs w:val="18"/>
        </w:rPr>
        <w:t xml:space="preserve"> implantée à Kirchlengern, au cœur du bassin de l’industrie du meuble en Westphalie orientale, en Allemagne. </w:t>
      </w:r>
      <w:r w:rsidRPr="00C671E1">
        <w:rPr>
          <w:rFonts w:cs="Arial"/>
          <w:bCs/>
          <w:sz w:val="18"/>
          <w:szCs w:val="18"/>
          <w:lang w:val="en-GB"/>
        </w:rPr>
        <w:t xml:space="preserve">Environ 8 400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collègues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travaillent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ensemble pour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fournir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nos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solutions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d’avenir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dans plus de 100 pays. Fidèle à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sa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promesse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"It's all in Hettich", la marque </w:t>
      </w:r>
      <w:proofErr w:type="gramStart"/>
      <w:r w:rsidRPr="00C671E1">
        <w:rPr>
          <w:rFonts w:cs="Arial"/>
          <w:bCs/>
          <w:sz w:val="18"/>
          <w:szCs w:val="18"/>
          <w:lang w:val="en-GB"/>
        </w:rPr>
        <w:t>propose</w:t>
      </w:r>
      <w:proofErr w:type="gramEnd"/>
      <w:r w:rsidRPr="00C671E1">
        <w:rPr>
          <w:rFonts w:cs="Arial"/>
          <w:bCs/>
          <w:sz w:val="18"/>
          <w:szCs w:val="18"/>
          <w:lang w:val="en-GB"/>
        </w:rPr>
        <w:t xml:space="preserve"> un large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portefeuille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de services,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toujours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axé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sur les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besoins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de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ses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clients à travers le monde.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Depuis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toujours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, Hettich place la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durabilité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au centre de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ses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préoccupations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, tant sur les plans social,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sociétal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C671E1">
        <w:rPr>
          <w:rFonts w:cs="Arial"/>
          <w:bCs/>
          <w:sz w:val="18"/>
          <w:szCs w:val="18"/>
          <w:lang w:val="en-GB"/>
        </w:rPr>
        <w:t>qu’écologique</w:t>
      </w:r>
      <w:proofErr w:type="spellEnd"/>
      <w:r w:rsidRPr="00C671E1">
        <w:rPr>
          <w:rFonts w:cs="Arial"/>
          <w:bCs/>
          <w:sz w:val="18"/>
          <w:szCs w:val="18"/>
          <w:lang w:val="en-GB"/>
        </w:rPr>
        <w:t xml:space="preserve">. </w:t>
      </w:r>
      <w:hyperlink r:id="rId13" w:history="1">
        <w:r w:rsidRPr="00C671E1"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571996" w:rsidRPr="00C671E1" w:rsidSect="0053418F">
      <w:headerReference w:type="default" r:id="rId14"/>
      <w:footerReference w:type="default" r:id="rId15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gramStart"/>
                          <w:r w:rsidRPr="00FB0D6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Contact :</w:t>
                          </w:r>
                          <w:proofErr w:type="gramEnd"/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B0D6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B0D6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B0D6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B0D6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FB0D6B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B0D6B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Exemplaire justificatif souhaité</w:t>
                          </w:r>
                        </w:p>
                        <w:p w14:paraId="0631CA96" w14:textId="77777777" w:rsidR="00230446" w:rsidRPr="00FB0D6B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</w:p>
                        <w:p w14:paraId="1DFAB1E9" w14:textId="5F35551B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PR_302025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gramStart"/>
                    <w:r w:rsidRPr="00FB0D6B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Contact :</w:t>
                    </w:r>
                    <w:proofErr w:type="gramEnd"/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B0D6B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B0D6B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B0D6B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B0D6B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FB0D6B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GB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B0D6B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Exemplaire justificatif souhaité</w:t>
                    </w:r>
                  </w:p>
                  <w:p w14:paraId="0631CA96" w14:textId="77777777" w:rsidR="00230446" w:rsidRPr="00FB0D6B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</w:p>
                  <w:p w14:paraId="1DFAB1E9" w14:textId="5F35551B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PR_302025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B79FA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3B97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4A60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1C3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6D48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066F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70C9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E07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2B4B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3C7C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9B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67C3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6E7A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D6E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3F52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36C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4CB8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360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0EAF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1E1"/>
    <w:rsid w:val="00C67F27"/>
    <w:rsid w:val="00C722CE"/>
    <w:rsid w:val="00C72987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80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0D6B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0FF7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nl-be/producten-eshop/techniek-innovaties-2022" TargetMode="External"/><Relationship Id="rId13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702</Words>
  <Characters>4103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Schrankinnenausstattung neu gedacht: Mehr Raum, mehr Ordnung, mehr Flexibilität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nouvelle génération d’aménagement intérieur d’armoires : plus d’espace, plus d’ordre et plus de flexibilité</dc:title>
  <dc:creator>Anke Wöhler</dc:creator>
  <cp:lastModifiedBy>Nina Thenhausen</cp:lastModifiedBy>
  <cp:revision>22</cp:revision>
  <cp:lastPrinted>2024-05-29T08:32:00Z</cp:lastPrinted>
  <dcterms:created xsi:type="dcterms:W3CDTF">2025-03-17T13:51:00Z</dcterms:created>
  <dcterms:modified xsi:type="dcterms:W3CDTF">2025-11-10T10:54:00Z</dcterms:modified>
</cp:coreProperties>
</file>